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1452" w14:textId="67EF8487" w:rsidR="00E23939" w:rsidRPr="009301C3" w:rsidRDefault="00E23939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F4FF3" w14:textId="47626F65" w:rsidR="00F23B6C" w:rsidRPr="009301C3" w:rsidRDefault="00D03119" w:rsidP="0046290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1C3">
        <w:rPr>
          <w:rFonts w:ascii="Times New Roman" w:hAnsi="Times New Roman" w:cs="Times New Roman"/>
          <w:b/>
          <w:i/>
          <w:sz w:val="28"/>
          <w:szCs w:val="28"/>
        </w:rPr>
        <w:t>TASK FORC</w:t>
      </w:r>
      <w:r w:rsidR="00B05DD2" w:rsidRPr="009301C3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930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5DD2" w:rsidRPr="009301C3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7A7D00" w:rsidRPr="009301C3">
        <w:rPr>
          <w:rFonts w:ascii="Times New Roman" w:hAnsi="Times New Roman" w:cs="Times New Roman"/>
          <w:b/>
          <w:i/>
          <w:sz w:val="28"/>
          <w:szCs w:val="28"/>
        </w:rPr>
        <w:t>Ë</w:t>
      </w:r>
      <w:r w:rsidR="00B05DD2" w:rsidRPr="009301C3">
        <w:rPr>
          <w:rFonts w:ascii="Times New Roman" w:hAnsi="Times New Roman" w:cs="Times New Roman"/>
          <w:b/>
          <w:i/>
          <w:sz w:val="28"/>
          <w:szCs w:val="28"/>
        </w:rPr>
        <w:t>R ADVOKIM</w:t>
      </w:r>
    </w:p>
    <w:p w14:paraId="31BB0607" w14:textId="77777777" w:rsidR="00F23B6C" w:rsidRPr="009301C3" w:rsidRDefault="00F23B6C" w:rsidP="0046290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E311D5" w14:textId="46C82DD3" w:rsidR="00BA0946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1C3">
        <w:rPr>
          <w:rFonts w:ascii="Times New Roman" w:hAnsi="Times New Roman" w:cs="Times New Roman"/>
          <w:b/>
          <w:i/>
          <w:sz w:val="24"/>
          <w:szCs w:val="24"/>
        </w:rPr>
        <w:t xml:space="preserve">THIRRJE </w:t>
      </w:r>
      <w:r w:rsidR="00B05DD2" w:rsidRPr="009301C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b/>
          <w:i/>
          <w:sz w:val="24"/>
          <w:szCs w:val="24"/>
        </w:rPr>
        <w:t>R EKSPERT</w:t>
      </w:r>
    </w:p>
    <w:p w14:paraId="183009AC" w14:textId="77777777" w:rsidR="00F23B6C" w:rsidRPr="009301C3" w:rsidRDefault="00F23B6C" w:rsidP="0046290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EFD78A" w14:textId="2FAB437E" w:rsidR="00F23B6C" w:rsidRPr="009301C3" w:rsidRDefault="002158D3" w:rsidP="0046290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276" w:lineRule="auto"/>
        <w:ind w:left="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5DD2" w:rsidRPr="009301C3">
        <w:rPr>
          <w:rFonts w:ascii="Times New Roman" w:hAnsi="Times New Roman" w:cs="Times New Roman"/>
          <w:b/>
          <w:sz w:val="24"/>
          <w:szCs w:val="24"/>
        </w:rPr>
        <w:t xml:space="preserve">RRETH PROJEKTIT </w:t>
      </w:r>
      <w:r w:rsidR="00F23B6C" w:rsidRPr="009301C3">
        <w:rPr>
          <w:rFonts w:ascii="Times New Roman" w:hAnsi="Times New Roman" w:cs="Times New Roman"/>
          <w:b/>
          <w:sz w:val="24"/>
          <w:szCs w:val="24"/>
        </w:rPr>
        <w:t xml:space="preserve">SOCIETIES 2 </w:t>
      </w:r>
    </w:p>
    <w:p w14:paraId="5D2C8A9E" w14:textId="77777777" w:rsidR="00F23B6C" w:rsidRPr="009301C3" w:rsidRDefault="00F23B6C" w:rsidP="00462909">
      <w:pPr>
        <w:spacing w:after="0" w:line="276" w:lineRule="auto"/>
        <w:jc w:val="both"/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</w:pPr>
    </w:p>
    <w:p w14:paraId="10CEC62A" w14:textId="6B459E6A" w:rsidR="00BA0946" w:rsidRPr="009301C3" w:rsidRDefault="00BA0946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Proje</w:t>
      </w:r>
      <w:r w:rsidR="00B05DD2" w:rsidRPr="009301C3">
        <w:rPr>
          <w:rFonts w:ascii="Times New Roman" w:hAnsi="Times New Roman" w:cs="Times New Roman"/>
          <w:sz w:val="24"/>
          <w:szCs w:val="24"/>
        </w:rPr>
        <w:t>k</w:t>
      </w:r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B05DD2" w:rsidRPr="0093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“SOCIETIES 2” </w:t>
      </w:r>
      <w:r w:rsidR="00B05DD2" w:rsidRPr="009301C3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nj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aleanc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rfshirje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rb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Pr="009301C3">
        <w:rPr>
          <w:rFonts w:ascii="Times New Roman" w:hAnsi="Times New Roman" w:cs="Times New Roman"/>
          <w:sz w:val="24"/>
          <w:szCs w:val="24"/>
        </w:rPr>
        <w:t xml:space="preserve">12 </w:t>
      </w:r>
      <w:r w:rsidR="00B05DD2" w:rsidRPr="009301C3">
        <w:rPr>
          <w:rFonts w:ascii="Times New Roman" w:hAnsi="Times New Roman" w:cs="Times New Roman"/>
          <w:sz w:val="24"/>
          <w:szCs w:val="24"/>
        </w:rPr>
        <w:t xml:space="preserve">OSHC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t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t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Per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r w:rsidR="007A7D00" w:rsidRPr="009301C3">
        <w:rPr>
          <w:rFonts w:ascii="Times New Roman" w:hAnsi="Times New Roman" w:cs="Times New Roman"/>
          <w:sz w:val="24"/>
          <w:szCs w:val="24"/>
        </w:rPr>
        <w:t>ndimor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Serbi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, Mal </w:t>
      </w:r>
      <w:proofErr w:type="spellStart"/>
      <w:r w:rsidR="000558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Zi,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Bosnj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r w:rsidR="007A7D00" w:rsidRPr="009301C3">
        <w:rPr>
          <w:rFonts w:ascii="Times New Roman" w:hAnsi="Times New Roman" w:cs="Times New Roman"/>
          <w:sz w:val="24"/>
          <w:szCs w:val="24"/>
        </w:rPr>
        <w:t>-Hercegovin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Kosov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Shqip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r w:rsidR="007A7D00" w:rsidRPr="009301C3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kan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rkasin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nj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jtave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kan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bashkuar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misionet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strategjit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roje</w:t>
      </w:r>
      <w:r w:rsidR="00B05DD2" w:rsidRPr="009301C3">
        <w:rPr>
          <w:rFonts w:ascii="Times New Roman" w:hAnsi="Times New Roman" w:cs="Times New Roman"/>
          <w:sz w:val="24"/>
          <w:szCs w:val="24"/>
        </w:rPr>
        <w:t>kti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B05DD2" w:rsidRPr="009301C3">
        <w:rPr>
          <w:rFonts w:ascii="Times New Roman" w:hAnsi="Times New Roman" w:cs="Times New Roman"/>
          <w:sz w:val="24"/>
          <w:szCs w:val="24"/>
        </w:rPr>
        <w:t>sht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5DD2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D2" w:rsidRPr="009301C3"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Pr="009301C3">
        <w:rPr>
          <w:rFonts w:ascii="Times New Roman" w:hAnsi="Times New Roman" w:cs="Times New Roman"/>
          <w:sz w:val="24"/>
          <w:szCs w:val="24"/>
        </w:rPr>
        <w:t xml:space="preserve">SOCIETIES 1 </w:t>
      </w:r>
      <w:r w:rsidR="00240B89" w:rsidRPr="009301C3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modifikime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llimi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sht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forcimi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pjes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dialogun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ndikimit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vendimmarr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rmes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ekspertiz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rfshirjes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aft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240B89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40B8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89" w:rsidRPr="009301C3">
        <w:rPr>
          <w:rFonts w:ascii="Times New Roman" w:hAnsi="Times New Roman" w:cs="Times New Roman"/>
          <w:sz w:val="24"/>
          <w:szCs w:val="24"/>
        </w:rPr>
        <w:t>deinstitucionalizimit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>.</w:t>
      </w:r>
      <w:r w:rsidR="00E811A3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A62C38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shum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vizitoni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ton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62C38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38" w:rsidRPr="009301C3">
        <w:rPr>
          <w:rFonts w:ascii="Times New Roman" w:hAnsi="Times New Roman" w:cs="Times New Roman"/>
          <w:sz w:val="24"/>
          <w:szCs w:val="24"/>
        </w:rPr>
        <w:t>Internetitt</w:t>
      </w:r>
      <w:proofErr w:type="spellEnd"/>
      <w:r w:rsidR="00E811A3" w:rsidRPr="009301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5583C" w:rsidRPr="00D03356">
          <w:rPr>
            <w:rStyle w:val="Hyperlink"/>
            <w:rFonts w:ascii="Times New Roman" w:hAnsi="Times New Roman" w:cs="Times New Roman"/>
            <w:sz w:val="24"/>
            <w:szCs w:val="24"/>
          </w:rPr>
          <w:t>www.projectsocieties.org</w:t>
        </w:r>
      </w:hyperlink>
      <w:r w:rsidR="00E811A3" w:rsidRPr="00930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4E8E9" w14:textId="77777777" w:rsidR="00A25AF1" w:rsidRPr="009301C3" w:rsidRDefault="00A25AF1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82090" w14:textId="5469BCA8" w:rsidR="00BA0946" w:rsidRPr="009301C3" w:rsidRDefault="002158D3" w:rsidP="004629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b/>
          <w:lang w:val="en-US"/>
        </w:rPr>
      </w:pPr>
      <w:r w:rsidRPr="009301C3">
        <w:rPr>
          <w:b/>
          <w:lang w:val="en-US"/>
        </w:rPr>
        <w:t xml:space="preserve">2. </w:t>
      </w:r>
      <w:r w:rsidR="00A62C38" w:rsidRPr="009301C3">
        <w:rPr>
          <w:b/>
          <w:lang w:val="en-US"/>
        </w:rPr>
        <w:t>SFONDI</w:t>
      </w:r>
      <w:r w:rsidR="007A7D00" w:rsidRPr="009301C3">
        <w:rPr>
          <w:b/>
          <w:lang w:val="en-US"/>
        </w:rPr>
        <w:t xml:space="preserve"> </w:t>
      </w:r>
      <w:proofErr w:type="spellStart"/>
      <w:r w:rsidR="007A7D00" w:rsidRPr="009301C3">
        <w:rPr>
          <w:b/>
          <w:lang w:val="en-US"/>
        </w:rPr>
        <w:t>i</w:t>
      </w:r>
      <w:proofErr w:type="spellEnd"/>
      <w:r w:rsidR="007A7D00" w:rsidRPr="009301C3">
        <w:rPr>
          <w:b/>
          <w:lang w:val="en-US"/>
        </w:rPr>
        <w:t xml:space="preserve"> </w:t>
      </w:r>
      <w:r w:rsidR="00A62C38" w:rsidRPr="009301C3">
        <w:rPr>
          <w:b/>
          <w:lang w:val="en-US"/>
        </w:rPr>
        <w:t>ADVOKIMIT</w:t>
      </w:r>
    </w:p>
    <w:p w14:paraId="70C6200F" w14:textId="77777777" w:rsidR="00F23B6C" w:rsidRPr="009301C3" w:rsidRDefault="00F23B6C" w:rsidP="004629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8A927" w14:textId="38E698D9" w:rsidR="00981830" w:rsidRPr="009301C3" w:rsidRDefault="00A62C38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sz w:val="24"/>
          <w:szCs w:val="24"/>
        </w:rPr>
        <w:t>grupet</w:t>
      </w:r>
      <w:proofErr w:type="spellEnd"/>
      <w:r w:rsidR="005B4347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B4347" w:rsidRPr="009301C3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5B4347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5B4347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5B4347" w:rsidRPr="009301C3">
        <w:rPr>
          <w:rFonts w:ascii="Times New Roman" w:hAnsi="Times New Roman" w:cs="Times New Roman"/>
          <w:sz w:val="24"/>
          <w:szCs w:val="24"/>
        </w:rPr>
        <w:t>sht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sz w:val="24"/>
          <w:szCs w:val="24"/>
        </w:rPr>
        <w:t>aktivizimi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task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forcave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advokimit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pes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vendet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zbatimit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5B4347"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347" w:rsidRPr="009301C3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="008E7911" w:rsidRPr="009301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4347" w:rsidRPr="009301C3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5B4347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5B4347" w:rsidRPr="009301C3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="00981830" w:rsidRPr="009301C3">
        <w:rPr>
          <w:rFonts w:ascii="Times New Roman" w:hAnsi="Times New Roman" w:cs="Times New Roman"/>
          <w:sz w:val="24"/>
          <w:szCs w:val="24"/>
        </w:rPr>
        <w:t>:</w:t>
      </w:r>
      <w:r w:rsidR="008E7911" w:rsidRPr="00930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52D57" w14:textId="22E75E96" w:rsidR="00AE7EE2" w:rsidRPr="009301C3" w:rsidRDefault="00AE7EE2" w:rsidP="00462909">
      <w:pPr>
        <w:pStyle w:val="BodyText"/>
        <w:tabs>
          <w:tab w:val="left" w:pos="2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rmir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pjes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rolit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vendimmarr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>;</w:t>
      </w:r>
    </w:p>
    <w:p w14:paraId="18C947FC" w14:textId="4B7639F2" w:rsidR="00AE7EE2" w:rsidRPr="009301C3" w:rsidRDefault="00AE7EE2" w:rsidP="00462909">
      <w:pPr>
        <w:pStyle w:val="BodyText"/>
        <w:tabs>
          <w:tab w:val="left" w:pos="27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8"/>
      <w:bookmarkEnd w:id="0"/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shk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mbimin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rvoj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rfshirjes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deinstitucionalizimit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>;</w:t>
      </w:r>
    </w:p>
    <w:p w14:paraId="7049FE14" w14:textId="1F7AC0DE" w:rsidR="00AE7EE2" w:rsidRPr="009301C3" w:rsidRDefault="00AE7EE2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9"/>
      <w:bookmarkEnd w:id="1"/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rmir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nd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2CAF" w:rsidRPr="009301C3">
        <w:rPr>
          <w:rFonts w:ascii="Times New Roman" w:hAnsi="Times New Roman" w:cs="Times New Roman"/>
          <w:sz w:val="24"/>
          <w:szCs w:val="24"/>
        </w:rPr>
        <w:t>cil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172CAF" w:rsidRPr="009301C3">
        <w:rPr>
          <w:rFonts w:ascii="Times New Roman" w:hAnsi="Times New Roman" w:cs="Times New Roman"/>
          <w:sz w:val="24"/>
          <w:szCs w:val="24"/>
        </w:rPr>
        <w:t>sis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2C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jet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aft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>;</w:t>
      </w:r>
    </w:p>
    <w:p w14:paraId="14FBC613" w14:textId="57304BC0" w:rsidR="00981830" w:rsidRPr="009301C3" w:rsidRDefault="00981830" w:rsidP="00462909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Pr="009301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tashm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ekzistojn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–</w:t>
      </w:r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="00EF4F61" w:rsidRPr="009301C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mekanizmave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nj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dialog social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rhersh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OSHC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>;</w:t>
      </w:r>
    </w:p>
    <w:p w14:paraId="20EB51C2" w14:textId="085551F5" w:rsidR="00C969D9" w:rsidRPr="009301C3" w:rsidRDefault="00981830" w:rsidP="004629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ndihm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aktivizimin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mekanizmave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rshtatsh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financiar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OSHC</w:t>
      </w:r>
      <w:r w:rsidRPr="009301C3">
        <w:rPr>
          <w:rFonts w:ascii="Times New Roman" w:hAnsi="Times New Roman" w:cs="Times New Roman"/>
          <w:sz w:val="24"/>
          <w:szCs w:val="24"/>
        </w:rPr>
        <w:t>,</w:t>
      </w:r>
      <w:r w:rsidR="00EF4F61" w:rsidRPr="009301C3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aft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eficienc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ndrueshm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ris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OSHC</w:t>
      </w:r>
      <w:r w:rsidR="00126CA3" w:rsidRPr="009301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6CA3" w:rsidRPr="009301C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punojn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aft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F4F61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F61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61" w:rsidRPr="009301C3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="00E811A3" w:rsidRPr="009301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8C0ED" w14:textId="30990F41" w:rsidR="00BA0946" w:rsidRPr="009301C3" w:rsidRDefault="00EF4F61" w:rsidP="004629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Task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Pr="009301C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rb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mesatarisht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7  persona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vend</w:t>
      </w:r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D34D6" w:rsidRPr="009301C3">
        <w:rPr>
          <w:rFonts w:ascii="Times New Roman" w:hAnsi="Times New Roman" w:cs="Times New Roman"/>
          <w:sz w:val="24"/>
          <w:szCs w:val="24"/>
        </w:rPr>
        <w:t>rfaq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D34D6" w:rsidRPr="009301C3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komb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D34D6" w:rsidRPr="009301C3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autoriteteve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komb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D34D6" w:rsidRPr="009301C3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çë</w:t>
      </w:r>
      <w:r w:rsidR="00CD34D6" w:rsidRPr="009301C3">
        <w:rPr>
          <w:rFonts w:ascii="Times New Roman" w:hAnsi="Times New Roman" w:cs="Times New Roman"/>
          <w:sz w:val="24"/>
          <w:szCs w:val="24"/>
        </w:rPr>
        <w:t>shtjen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aft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D34D6" w:rsidRPr="009301C3">
        <w:rPr>
          <w:rFonts w:ascii="Times New Roman" w:hAnsi="Times New Roman" w:cs="Times New Roman"/>
          <w:sz w:val="24"/>
          <w:szCs w:val="24"/>
        </w:rPr>
        <w:t>sis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probleme</w:t>
      </w:r>
      <w:r w:rsidR="00E35C6B" w:rsidRPr="009301C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="00E35C6B" w:rsidRPr="009301C3">
        <w:rPr>
          <w:rFonts w:ascii="Times New Roman" w:hAnsi="Times New Roman" w:cs="Times New Roman"/>
          <w:sz w:val="24"/>
          <w:szCs w:val="24"/>
        </w:rPr>
        <w:t>e</w:t>
      </w:r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D34D6" w:rsidRPr="009301C3">
        <w:rPr>
          <w:rFonts w:ascii="Times New Roman" w:hAnsi="Times New Roman" w:cs="Times New Roman"/>
          <w:sz w:val="24"/>
          <w:szCs w:val="24"/>
        </w:rPr>
        <w:t>ndetit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mendor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sec</w:t>
      </w:r>
      <w:r w:rsidR="00EA6DDD" w:rsidRPr="009301C3">
        <w:rPr>
          <w:rFonts w:ascii="Times New Roman" w:hAnsi="Times New Roman" w:cs="Times New Roman"/>
          <w:sz w:val="24"/>
          <w:szCs w:val="24"/>
        </w:rPr>
        <w:t>i</w:t>
      </w:r>
      <w:r w:rsidR="00CD34D6" w:rsidRPr="009301C3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vend </w:t>
      </w:r>
      <w:r w:rsidR="009073E9" w:rsidRPr="0093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sikurse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D6" w:rsidRPr="009301C3">
        <w:rPr>
          <w:rFonts w:ascii="Times New Roman" w:hAnsi="Times New Roman" w:cs="Times New Roman"/>
          <w:sz w:val="24"/>
          <w:szCs w:val="24"/>
        </w:rPr>
        <w:t>jan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34D6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m</w:t>
      </w:r>
      <w:r w:rsidR="009073E9" w:rsidRPr="009301C3">
        <w:rPr>
          <w:rFonts w:ascii="Times New Roman" w:hAnsi="Times New Roman" w:cs="Times New Roman"/>
          <w:sz w:val="24"/>
          <w:szCs w:val="24"/>
        </w:rPr>
        <w:t>inistri</w:t>
      </w:r>
      <w:r w:rsidR="00EA6DDD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qendrat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A6DDD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pun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A6DDD" w:rsidRPr="009301C3">
        <w:rPr>
          <w:rFonts w:ascii="Times New Roman" w:hAnsi="Times New Roman" w:cs="Times New Roman"/>
          <w:sz w:val="24"/>
          <w:szCs w:val="24"/>
        </w:rPr>
        <w:t>ndetit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mendor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EA6DDD" w:rsidRPr="009301C3">
        <w:rPr>
          <w:rFonts w:ascii="Times New Roman" w:hAnsi="Times New Roman" w:cs="Times New Roman"/>
          <w:sz w:val="24"/>
          <w:szCs w:val="24"/>
        </w:rPr>
        <w:t>rbimet</w:t>
      </w:r>
      <w:proofErr w:type="spellEnd"/>
      <w:r w:rsidR="00EA6DDD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DD" w:rsidRPr="009301C3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ve</w:t>
      </w:r>
      <w:r w:rsidR="007A7D00" w:rsidRPr="009301C3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sip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r w:rsidR="00D010AB" w:rsidRPr="009301C3">
        <w:rPr>
          <w:rFonts w:ascii="Times New Roman" w:hAnsi="Times New Roman" w:cs="Times New Roman"/>
          <w:sz w:val="24"/>
          <w:szCs w:val="24"/>
        </w:rPr>
        <w:t xml:space="preserve">task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zgjerohet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ekspert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cil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angazhohen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diskutohen</w:t>
      </w:r>
      <w:proofErr w:type="spellEnd"/>
      <w:r w:rsidR="009073E9" w:rsidRPr="009301C3">
        <w:rPr>
          <w:rFonts w:ascii="Times New Roman" w:hAnsi="Times New Roman" w:cs="Times New Roman"/>
          <w:sz w:val="24"/>
          <w:szCs w:val="24"/>
        </w:rPr>
        <w:t>.</w:t>
      </w:r>
    </w:p>
    <w:p w14:paraId="679AC181" w14:textId="77777777" w:rsidR="00D13442" w:rsidRPr="009301C3" w:rsidRDefault="00D13442" w:rsidP="004629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4EB35" w14:textId="5E81DF9C" w:rsidR="00911753" w:rsidRPr="009301C3" w:rsidRDefault="00911753" w:rsidP="004629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10AB" w:rsidRPr="009301C3">
        <w:rPr>
          <w:rFonts w:ascii="Times New Roman" w:hAnsi="Times New Roman" w:cs="Times New Roman"/>
          <w:b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b/>
          <w:sz w:val="24"/>
          <w:szCs w:val="24"/>
        </w:rPr>
        <w:t>RB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b/>
          <w:sz w:val="24"/>
          <w:szCs w:val="24"/>
        </w:rPr>
        <w:t xml:space="preserve">RJA DHE TEMAT E </w:t>
      </w:r>
      <w:r w:rsidRPr="009301C3">
        <w:rPr>
          <w:rFonts w:ascii="Times New Roman" w:hAnsi="Times New Roman" w:cs="Times New Roman"/>
          <w:b/>
          <w:sz w:val="24"/>
          <w:szCs w:val="24"/>
        </w:rPr>
        <w:t>TASK FORC</w:t>
      </w:r>
      <w:r w:rsidR="007A7D00" w:rsidRPr="009301C3">
        <w:rPr>
          <w:rFonts w:ascii="Times New Roman" w:hAnsi="Times New Roman" w:cs="Times New Roman"/>
          <w:b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b/>
          <w:sz w:val="24"/>
          <w:szCs w:val="24"/>
        </w:rPr>
        <w:t>S</w:t>
      </w:r>
      <w:r w:rsidRPr="00930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672D7" w14:textId="1168175C" w:rsidR="00E811A3" w:rsidRPr="009301C3" w:rsidRDefault="00D010AB" w:rsidP="0046290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rb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rja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diskutohet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konceptohen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vend</w:t>
      </w:r>
      <w:r w:rsidR="00263B4F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si</w:t>
      </w:r>
      <w:r w:rsidR="007A7D00" w:rsidRPr="009301C3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identifikohen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gjat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hart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="00263B4F" w:rsidRPr="009301C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08A13BD" w14:textId="1C23E366" w:rsidR="00263B4F" w:rsidRPr="009301C3" w:rsidRDefault="00263B4F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0A366" w14:textId="20F49E49" w:rsidR="00263B4F" w:rsidRPr="009301C3" w:rsidRDefault="00263B4F" w:rsidP="004629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10AB" w:rsidRPr="009301C3">
        <w:rPr>
          <w:rFonts w:ascii="Times New Roman" w:hAnsi="Times New Roman" w:cs="Times New Roman"/>
          <w:b/>
          <w:sz w:val="24"/>
          <w:szCs w:val="24"/>
        </w:rPr>
        <w:t>KOHA DHE VENDI</w:t>
      </w:r>
    </w:p>
    <w:p w14:paraId="27D77A33" w14:textId="77777777" w:rsidR="00263B4F" w:rsidRPr="009301C3" w:rsidRDefault="00263B4F" w:rsidP="004629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5811B1" w14:textId="39711A38" w:rsidR="00550BD3" w:rsidRPr="009301C3" w:rsidRDefault="007A7D00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Ç</w:t>
      </w:r>
      <w:r w:rsidR="00D010AB" w:rsidRPr="009301C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task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forc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adoptoj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rcaktoj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metod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form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takimet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tryeza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rrumbullak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D010AB" w:rsidRPr="009301C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forume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>, apo</w:t>
      </w:r>
      <w:r w:rsidR="00550BD3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="00D010AB" w:rsidRPr="009301C3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q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10A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AB" w:rsidRPr="009301C3">
        <w:rPr>
          <w:rFonts w:ascii="Times New Roman" w:hAnsi="Times New Roman" w:cs="Times New Roman"/>
          <w:sz w:val="24"/>
          <w:szCs w:val="24"/>
        </w:rPr>
        <w:t>identifikohen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. </w:t>
      </w:r>
      <w:r w:rsidR="00FF77CF" w:rsidRPr="009301C3">
        <w:rPr>
          <w:rFonts w:ascii="Times New Roman" w:hAnsi="Times New Roman" w:cs="Times New Roman"/>
          <w:sz w:val="24"/>
          <w:szCs w:val="24"/>
        </w:rPr>
        <w:t xml:space="preserve">Task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funksionoj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p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r w:rsidR="00E35C6B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vjet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r w:rsidR="00E35C6B" w:rsidRPr="009301C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ardhsh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r w:rsidR="00E35C6B" w:rsidRPr="009301C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35C6B" w:rsidRPr="009301C3">
        <w:rPr>
          <w:rFonts w:ascii="Times New Roman" w:hAnsi="Times New Roman" w:cs="Times New Roman"/>
          <w:sz w:val="24"/>
          <w:szCs w:val="24"/>
        </w:rPr>
        <w:t>t</w:t>
      </w:r>
      <w:r w:rsidR="008D35F9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35C6B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mblidhet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rregullisht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n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F77C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F" w:rsidRPr="009301C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nj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num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>mbledhjesh</w:t>
      </w:r>
      <w:proofErr w:type="spellEnd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>pune</w:t>
      </w:r>
      <w:proofErr w:type="spellEnd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BD3" w:rsidRPr="009301C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>mesatarisht</w:t>
      </w:r>
      <w:proofErr w:type="spellEnd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>mbledhje</w:t>
      </w:r>
      <w:proofErr w:type="spellEnd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="00B777AF" w:rsidRPr="009301C3">
        <w:rPr>
          <w:rFonts w:ascii="Times New Roman" w:hAnsi="Times New Roman" w:cs="Times New Roman"/>
          <w:b/>
          <w:bCs/>
          <w:sz w:val="24"/>
          <w:szCs w:val="24"/>
        </w:rPr>
        <w:t>muaj</w:t>
      </w:r>
      <w:proofErr w:type="spellEnd"/>
      <w:r w:rsidR="00550BD3" w:rsidRPr="009301C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Gjat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procesverbale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n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rfshihen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k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shillat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sugjerimet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m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nyr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forcimit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rfshirjes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aft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r w:rsidR="00B777AF" w:rsidRPr="0093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t</w:t>
      </w:r>
      <w:r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77AF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AF" w:rsidRPr="009301C3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="00550BD3" w:rsidRPr="009301C3">
        <w:rPr>
          <w:rFonts w:ascii="Times New Roman" w:hAnsi="Times New Roman" w:cs="Times New Roman"/>
          <w:sz w:val="24"/>
          <w:szCs w:val="24"/>
        </w:rPr>
        <w:t>.</w:t>
      </w:r>
    </w:p>
    <w:p w14:paraId="1BE1E3D0" w14:textId="536CC849" w:rsidR="00E811A3" w:rsidRPr="009301C3" w:rsidRDefault="00B777AF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Kuadri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7D00"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Pr="009301C3">
        <w:rPr>
          <w:rFonts w:ascii="Times New Roman" w:hAnsi="Times New Roman" w:cs="Times New Roman"/>
          <w:sz w:val="24"/>
          <w:szCs w:val="24"/>
        </w:rPr>
        <w:t xml:space="preserve">task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forc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advokimin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mun</w:t>
      </w:r>
      <w:r w:rsidR="00E35C6B" w:rsidRPr="009301C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ndryshoj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kriz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shtr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nguese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q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811A3" w:rsidRPr="009301C3">
        <w:rPr>
          <w:rFonts w:ascii="Times New Roman" w:hAnsi="Times New Roman" w:cs="Times New Roman"/>
          <w:sz w:val="24"/>
          <w:szCs w:val="24"/>
        </w:rPr>
        <w:t>.</w:t>
      </w:r>
    </w:p>
    <w:p w14:paraId="43ED5789" w14:textId="77777777" w:rsidR="00527BCC" w:rsidRPr="009301C3" w:rsidRDefault="00527BCC" w:rsidP="0046290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440CB9" w14:textId="3869888D" w:rsidR="00057FC5" w:rsidRPr="009301C3" w:rsidRDefault="00696E9C" w:rsidP="004629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firstLine="578"/>
        <w:jc w:val="both"/>
        <w:rPr>
          <w:b/>
          <w:lang w:val="en-US"/>
        </w:rPr>
      </w:pPr>
      <w:r w:rsidRPr="009301C3">
        <w:rPr>
          <w:b/>
          <w:lang w:val="en-US"/>
        </w:rPr>
        <w:t>5</w:t>
      </w:r>
      <w:r w:rsidR="00550BD3" w:rsidRPr="009301C3">
        <w:rPr>
          <w:b/>
          <w:lang w:val="en-US"/>
        </w:rPr>
        <w:t xml:space="preserve">. </w:t>
      </w:r>
      <w:r w:rsidR="00B777AF" w:rsidRPr="009301C3">
        <w:rPr>
          <w:b/>
          <w:lang w:val="en-US"/>
        </w:rPr>
        <w:t>EKSPERT</w:t>
      </w:r>
      <w:r w:rsidR="007A7D00" w:rsidRPr="009301C3">
        <w:rPr>
          <w:b/>
          <w:lang w:val="en-US"/>
        </w:rPr>
        <w:t>Ë</w:t>
      </w:r>
      <w:r w:rsidR="00B777AF" w:rsidRPr="009301C3">
        <w:rPr>
          <w:b/>
          <w:lang w:val="en-US"/>
        </w:rPr>
        <w:t>T E ADVOKIMIT</w:t>
      </w:r>
    </w:p>
    <w:p w14:paraId="42524C78" w14:textId="77777777" w:rsidR="00696E9C" w:rsidRPr="009301C3" w:rsidRDefault="00696E9C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48AF3" w14:textId="7A4F6138" w:rsidR="00C652C6" w:rsidRPr="009301C3" w:rsidRDefault="00B777AF" w:rsidP="004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rmbushjen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misionit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vet</w:t>
      </w:r>
      <w:r w:rsidR="001C1E4C" w:rsidRPr="009301C3">
        <w:rPr>
          <w:rFonts w:ascii="Times New Roman" w:hAnsi="Times New Roman" w:cs="Times New Roman"/>
          <w:sz w:val="24"/>
          <w:szCs w:val="24"/>
        </w:rPr>
        <w:t xml:space="preserve">, </w:t>
      </w:r>
      <w:r w:rsidRPr="009301C3">
        <w:rPr>
          <w:rFonts w:ascii="Times New Roman" w:hAnsi="Times New Roman" w:cs="Times New Roman"/>
          <w:sz w:val="24"/>
          <w:szCs w:val="24"/>
        </w:rPr>
        <w:t xml:space="preserve">task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advokimin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zgjerohet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me 2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ekspert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1C1E4C" w:rsidRPr="0093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roli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581813" w:rsidRPr="009301C3">
        <w:rPr>
          <w:rFonts w:ascii="Times New Roman" w:hAnsi="Times New Roman" w:cs="Times New Roman"/>
          <w:sz w:val="24"/>
          <w:szCs w:val="24"/>
        </w:rPr>
        <w:t>rgjegj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581813" w:rsidRPr="009301C3">
        <w:rPr>
          <w:rFonts w:ascii="Times New Roman" w:hAnsi="Times New Roman" w:cs="Times New Roman"/>
          <w:sz w:val="24"/>
          <w:szCs w:val="24"/>
        </w:rPr>
        <w:t>sit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cil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581813" w:rsidRPr="009301C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81813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13" w:rsidRPr="009301C3">
        <w:rPr>
          <w:rFonts w:ascii="Times New Roman" w:hAnsi="Times New Roman" w:cs="Times New Roman"/>
          <w:sz w:val="24"/>
          <w:szCs w:val="24"/>
        </w:rPr>
        <w:t>jen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1E4C" w:rsidRPr="009301C3">
        <w:rPr>
          <w:rFonts w:ascii="Times New Roman" w:hAnsi="Times New Roman" w:cs="Times New Roman"/>
          <w:sz w:val="24"/>
          <w:szCs w:val="24"/>
        </w:rPr>
        <w:t>:</w:t>
      </w:r>
    </w:p>
    <w:p w14:paraId="1F224CF3" w14:textId="3199E2B9" w:rsidR="00696E9C" w:rsidRPr="009301C3" w:rsidRDefault="000F7E63" w:rsidP="00462909">
      <w:pPr>
        <w:pStyle w:val="ListParagraph"/>
        <w:numPr>
          <w:ilvl w:val="0"/>
          <w:numId w:val="11"/>
        </w:numPr>
        <w:jc w:val="both"/>
      </w:pPr>
      <w:r w:rsidRPr="009301C3">
        <w:t>l</w:t>
      </w:r>
      <w:r w:rsidR="00581813" w:rsidRPr="009301C3">
        <w:t>eht</w:t>
      </w:r>
      <w:r w:rsidR="007A7D00" w:rsidRPr="009301C3">
        <w:t>ë</w:t>
      </w:r>
      <w:r w:rsidR="00581813" w:rsidRPr="009301C3">
        <w:t>simi dhe promovimi</w:t>
      </w:r>
      <w:r w:rsidR="007A7D00" w:rsidRPr="009301C3">
        <w:t xml:space="preserve"> i </w:t>
      </w:r>
      <w:r w:rsidR="00581813" w:rsidRPr="009301C3">
        <w:t>komunikimit mes OSHC-ve dhe autoriteteve publike an</w:t>
      </w:r>
      <w:r w:rsidR="007A7D00" w:rsidRPr="009301C3">
        <w:t>ë</w:t>
      </w:r>
      <w:r w:rsidR="00581813" w:rsidRPr="009301C3">
        <w:t>tare t</w:t>
      </w:r>
      <w:r w:rsidR="007A7D00" w:rsidRPr="009301C3">
        <w:t>ë</w:t>
      </w:r>
      <w:r w:rsidR="00581813" w:rsidRPr="009301C3">
        <w:t xml:space="preserve"> task forc</w:t>
      </w:r>
      <w:r w:rsidR="007A7D00" w:rsidRPr="009301C3">
        <w:t>ë</w:t>
      </w:r>
      <w:r w:rsidR="00581813" w:rsidRPr="009301C3">
        <w:t>s</w:t>
      </w:r>
      <w:r w:rsidR="000717E8" w:rsidRPr="009301C3">
        <w:t xml:space="preserve">, </w:t>
      </w:r>
      <w:r w:rsidR="00581813" w:rsidRPr="009301C3">
        <w:t>p</w:t>
      </w:r>
      <w:r w:rsidR="007A7D00" w:rsidRPr="009301C3">
        <w:t>ë</w:t>
      </w:r>
      <w:r w:rsidR="00581813" w:rsidRPr="009301C3">
        <w:t>rmes kontribuimit p</w:t>
      </w:r>
      <w:r w:rsidR="007A7D00" w:rsidRPr="009301C3">
        <w:t>ë</w:t>
      </w:r>
      <w:r w:rsidR="00581813" w:rsidRPr="009301C3">
        <w:t>r krijimin e nj</w:t>
      </w:r>
      <w:r w:rsidR="007A7D00" w:rsidRPr="009301C3">
        <w:t>ë</w:t>
      </w:r>
      <w:r w:rsidR="00581813" w:rsidRPr="009301C3">
        <w:t xml:space="preserve"> klime dialogu konstruktiv dhe mir</w:t>
      </w:r>
      <w:r w:rsidR="007A7D00" w:rsidRPr="009301C3">
        <w:t>ë</w:t>
      </w:r>
      <w:r w:rsidR="00581813" w:rsidRPr="009301C3">
        <w:t>kuptimi t</w:t>
      </w:r>
      <w:r w:rsidR="007A7D00" w:rsidRPr="009301C3">
        <w:t>ë</w:t>
      </w:r>
      <w:r w:rsidR="00581813" w:rsidRPr="009301C3">
        <w:t xml:space="preserve"> nd</w:t>
      </w:r>
      <w:r w:rsidR="007A7D00" w:rsidRPr="009301C3">
        <w:t>ë</w:t>
      </w:r>
      <w:r w:rsidR="00581813" w:rsidRPr="009301C3">
        <w:t>rsjellt</w:t>
      </w:r>
      <w:r w:rsidR="007A7D00" w:rsidRPr="009301C3">
        <w:t>ë</w:t>
      </w:r>
      <w:r w:rsidR="00581813" w:rsidRPr="009301C3">
        <w:t>;</w:t>
      </w:r>
    </w:p>
    <w:p w14:paraId="690FB08A" w14:textId="3A5681F2" w:rsidR="004D2629" w:rsidRPr="009301C3" w:rsidRDefault="000F7E63" w:rsidP="00462909">
      <w:pPr>
        <w:pStyle w:val="ListParagraph"/>
        <w:numPr>
          <w:ilvl w:val="0"/>
          <w:numId w:val="11"/>
        </w:numPr>
        <w:jc w:val="both"/>
      </w:pPr>
      <w:r w:rsidRPr="009301C3">
        <w:t>d</w:t>
      </w:r>
      <w:r w:rsidR="00581813" w:rsidRPr="009301C3">
        <w:t>h</w:t>
      </w:r>
      <w:r w:rsidR="007A7D00" w:rsidRPr="009301C3">
        <w:t>ë</w:t>
      </w:r>
      <w:r w:rsidR="00581813" w:rsidRPr="009301C3">
        <w:t>nia e asistenc</w:t>
      </w:r>
      <w:r w:rsidR="007A7D00" w:rsidRPr="009301C3">
        <w:t>ë</w:t>
      </w:r>
      <w:r w:rsidR="00581813" w:rsidRPr="009301C3">
        <w:t>s p</w:t>
      </w:r>
      <w:r w:rsidR="007A7D00" w:rsidRPr="009301C3">
        <w:t>ë</w:t>
      </w:r>
      <w:r w:rsidR="00581813" w:rsidRPr="009301C3">
        <w:t>r task forc</w:t>
      </w:r>
      <w:r w:rsidR="007A7D00" w:rsidRPr="009301C3">
        <w:t>ë</w:t>
      </w:r>
      <w:r w:rsidR="00581813" w:rsidRPr="009301C3">
        <w:t>n e advokimit n</w:t>
      </w:r>
      <w:r w:rsidR="007A7D00" w:rsidRPr="009301C3">
        <w:t>ë</w:t>
      </w:r>
      <w:r w:rsidR="00581813" w:rsidRPr="009301C3">
        <w:t xml:space="preserve"> p</w:t>
      </w:r>
      <w:r w:rsidR="007A7D00" w:rsidRPr="009301C3">
        <w:t>ë</w:t>
      </w:r>
      <w:r w:rsidR="00581813" w:rsidRPr="009301C3">
        <w:t>rgatitjen dhe zbatimin e aktiviteteve p</w:t>
      </w:r>
      <w:r w:rsidR="007A7D00" w:rsidRPr="009301C3">
        <w:t>ë</w:t>
      </w:r>
      <w:r w:rsidR="00581813" w:rsidRPr="009301C3">
        <w:t>rmes kontributit profesional n</w:t>
      </w:r>
      <w:r w:rsidR="007A7D00" w:rsidRPr="009301C3">
        <w:t>ë</w:t>
      </w:r>
      <w:r w:rsidR="00581813" w:rsidRPr="009301C3">
        <w:t xml:space="preserve"> dokumentet p</w:t>
      </w:r>
      <w:r w:rsidR="007A7D00" w:rsidRPr="009301C3">
        <w:t>ë</w:t>
      </w:r>
      <w:r w:rsidR="00581813" w:rsidRPr="009301C3">
        <w:t>rgatitor</w:t>
      </w:r>
      <w:r w:rsidR="00E35C6B" w:rsidRPr="009301C3">
        <w:t>e</w:t>
      </w:r>
      <w:r w:rsidR="00581813" w:rsidRPr="009301C3">
        <w:t xml:space="preserve"> dhe finale</w:t>
      </w:r>
      <w:r w:rsidR="005D7432" w:rsidRPr="009301C3">
        <w:t xml:space="preserve">, </w:t>
      </w:r>
      <w:r w:rsidR="00581813" w:rsidRPr="009301C3">
        <w:t>sipas tem</w:t>
      </w:r>
      <w:r w:rsidR="007A7D00" w:rsidRPr="009301C3">
        <w:t>ë</w:t>
      </w:r>
      <w:r w:rsidR="00581813" w:rsidRPr="009301C3">
        <w:t>s dhe q</w:t>
      </w:r>
      <w:r w:rsidR="007A7D00" w:rsidRPr="009301C3">
        <w:t>ë</w:t>
      </w:r>
      <w:r w:rsidR="00581813" w:rsidRPr="009301C3">
        <w:t>llimit t</w:t>
      </w:r>
      <w:r w:rsidR="007A7D00" w:rsidRPr="009301C3">
        <w:t>ë</w:t>
      </w:r>
      <w:r w:rsidR="00581813" w:rsidRPr="009301C3">
        <w:t xml:space="preserve"> </w:t>
      </w:r>
      <w:r w:rsidR="007A7D00" w:rsidRPr="009301C3">
        <w:t>ç</w:t>
      </w:r>
      <w:r w:rsidR="00581813" w:rsidRPr="009301C3">
        <w:t>do eventi;</w:t>
      </w:r>
    </w:p>
    <w:p w14:paraId="766DF85A" w14:textId="7190F2CF" w:rsidR="004D2629" w:rsidRPr="009301C3" w:rsidRDefault="000F7E63" w:rsidP="00462909">
      <w:pPr>
        <w:pStyle w:val="ListParagraph"/>
        <w:numPr>
          <w:ilvl w:val="0"/>
          <w:numId w:val="10"/>
        </w:numPr>
        <w:jc w:val="both"/>
      </w:pPr>
      <w:r w:rsidRPr="009301C3">
        <w:t>a</w:t>
      </w:r>
      <w:r w:rsidR="00581813" w:rsidRPr="009301C3">
        <w:t>sistimi</w:t>
      </w:r>
      <w:r w:rsidR="007A7D00" w:rsidRPr="009301C3">
        <w:t xml:space="preserve"> i </w:t>
      </w:r>
      <w:r w:rsidR="00581813" w:rsidRPr="009301C3">
        <w:t>task forc</w:t>
      </w:r>
      <w:r w:rsidR="007A7D00" w:rsidRPr="009301C3">
        <w:t>ë</w:t>
      </w:r>
      <w:r w:rsidR="00581813" w:rsidRPr="009301C3">
        <w:t>s p</w:t>
      </w:r>
      <w:r w:rsidR="007A7D00" w:rsidRPr="009301C3">
        <w:t>ë</w:t>
      </w:r>
      <w:r w:rsidR="00581813" w:rsidRPr="009301C3">
        <w:t>r identifikimin e kuadrit ligjor n</w:t>
      </w:r>
      <w:r w:rsidR="007A7D00" w:rsidRPr="009301C3">
        <w:t>ë</w:t>
      </w:r>
      <w:r w:rsidR="00581813" w:rsidRPr="009301C3">
        <w:t xml:space="preserve"> fuqi mbi proceset e konsultimeve publike dhe hap</w:t>
      </w:r>
      <w:r w:rsidR="007A7D00" w:rsidRPr="009301C3">
        <w:t>ë</w:t>
      </w:r>
      <w:r w:rsidR="00581813" w:rsidRPr="009301C3">
        <w:t>sirave t</w:t>
      </w:r>
      <w:r w:rsidR="007A7D00" w:rsidRPr="009301C3">
        <w:t>ë</w:t>
      </w:r>
      <w:r w:rsidR="00581813" w:rsidRPr="009301C3">
        <w:t xml:space="preserve"> mundshme p</w:t>
      </w:r>
      <w:r w:rsidR="007A7D00" w:rsidRPr="009301C3">
        <w:t>ë</w:t>
      </w:r>
      <w:r w:rsidR="00581813" w:rsidRPr="009301C3">
        <w:t>r p</w:t>
      </w:r>
      <w:r w:rsidR="007A7D00" w:rsidRPr="009301C3">
        <w:t>ë</w:t>
      </w:r>
      <w:r w:rsidR="00581813" w:rsidRPr="009301C3">
        <w:t>rmir</w:t>
      </w:r>
      <w:r w:rsidR="007A7D00" w:rsidRPr="009301C3">
        <w:t>ë</w:t>
      </w:r>
      <w:r w:rsidR="00581813" w:rsidRPr="009301C3">
        <w:t>simin e tij;</w:t>
      </w:r>
    </w:p>
    <w:p w14:paraId="12A4CFD7" w14:textId="3F027787" w:rsidR="004D2629" w:rsidRPr="009301C3" w:rsidRDefault="000F7E63" w:rsidP="00462909">
      <w:pPr>
        <w:pStyle w:val="ListParagraph"/>
        <w:numPr>
          <w:ilvl w:val="0"/>
          <w:numId w:val="10"/>
        </w:numPr>
        <w:jc w:val="both"/>
      </w:pPr>
      <w:proofErr w:type="spellStart"/>
      <w:r w:rsidRPr="009301C3">
        <w:rPr>
          <w:lang w:val="en-US"/>
        </w:rPr>
        <w:t>o</w:t>
      </w:r>
      <w:r w:rsidR="00581813" w:rsidRPr="009301C3">
        <w:rPr>
          <w:lang w:val="en-US"/>
        </w:rPr>
        <w:t>frimi</w:t>
      </w:r>
      <w:proofErr w:type="spellEnd"/>
      <w:r w:rsidR="007A7D00" w:rsidRPr="009301C3">
        <w:rPr>
          <w:lang w:val="en-US"/>
        </w:rPr>
        <w:t xml:space="preserve"> </w:t>
      </w:r>
      <w:proofErr w:type="spellStart"/>
      <w:r w:rsidR="007A7D00" w:rsidRPr="009301C3">
        <w:rPr>
          <w:lang w:val="en-US"/>
        </w:rPr>
        <w:t>i</w:t>
      </w:r>
      <w:proofErr w:type="spellEnd"/>
      <w:r w:rsidR="007A7D00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k</w:t>
      </w:r>
      <w:r w:rsidR="007A7D00" w:rsidRPr="009301C3">
        <w:rPr>
          <w:lang w:val="en-US"/>
        </w:rPr>
        <w:t>ë</w:t>
      </w:r>
      <w:r w:rsidR="00581813" w:rsidRPr="009301C3">
        <w:rPr>
          <w:lang w:val="en-US"/>
        </w:rPr>
        <w:t>shillave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lidhur</w:t>
      </w:r>
      <w:proofErr w:type="spellEnd"/>
      <w:r w:rsidR="00581813" w:rsidRPr="009301C3">
        <w:rPr>
          <w:lang w:val="en-US"/>
        </w:rPr>
        <w:t xml:space="preserve"> me </w:t>
      </w:r>
      <w:proofErr w:type="spellStart"/>
      <w:r w:rsidR="00581813" w:rsidRPr="009301C3">
        <w:rPr>
          <w:lang w:val="en-US"/>
        </w:rPr>
        <w:t>praktikat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m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mira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mundshme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p</w:t>
      </w:r>
      <w:r w:rsidR="007A7D00" w:rsidRPr="009301C3">
        <w:rPr>
          <w:lang w:val="en-US"/>
        </w:rPr>
        <w:t>ë</w:t>
      </w:r>
      <w:r w:rsidR="00581813" w:rsidRPr="009301C3">
        <w:rPr>
          <w:lang w:val="en-US"/>
        </w:rPr>
        <w:t>rfshirjes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s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OSHC-</w:t>
      </w:r>
      <w:proofErr w:type="spellStart"/>
      <w:r w:rsidR="00581813" w:rsidRPr="009301C3">
        <w:rPr>
          <w:lang w:val="en-US"/>
        </w:rPr>
        <w:t>ve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n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dialogun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publik</w:t>
      </w:r>
      <w:proofErr w:type="spellEnd"/>
      <w:r w:rsidR="00581813" w:rsidRPr="009301C3">
        <w:rPr>
          <w:lang w:val="en-US"/>
        </w:rPr>
        <w:t>;</w:t>
      </w:r>
    </w:p>
    <w:p w14:paraId="1CE0DF3C" w14:textId="4C2D2F19" w:rsidR="004D2629" w:rsidRPr="009301C3" w:rsidRDefault="000F7E63" w:rsidP="00462909">
      <w:pPr>
        <w:pStyle w:val="ListParagraph"/>
        <w:numPr>
          <w:ilvl w:val="0"/>
          <w:numId w:val="10"/>
        </w:numPr>
        <w:jc w:val="both"/>
      </w:pPr>
      <w:proofErr w:type="spellStart"/>
      <w:r w:rsidRPr="009301C3">
        <w:rPr>
          <w:lang w:val="en-US"/>
        </w:rPr>
        <w:t>i</w:t>
      </w:r>
      <w:r w:rsidR="00581813" w:rsidRPr="009301C3">
        <w:rPr>
          <w:lang w:val="en-US"/>
        </w:rPr>
        <w:t>dentifikimi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D57EB" w:rsidRPr="009301C3">
        <w:rPr>
          <w:lang w:val="en-US"/>
        </w:rPr>
        <w:t>dhe</w:t>
      </w:r>
      <w:proofErr w:type="spellEnd"/>
      <w:r w:rsidRPr="009301C3">
        <w:rPr>
          <w:lang w:val="en-US"/>
        </w:rPr>
        <w:t xml:space="preserve"> </w:t>
      </w:r>
      <w:proofErr w:type="spellStart"/>
      <w:r w:rsidR="005D57EB" w:rsidRPr="009301C3">
        <w:rPr>
          <w:lang w:val="en-US"/>
        </w:rPr>
        <w:t>promovimi</w:t>
      </w:r>
      <w:proofErr w:type="spellEnd"/>
      <w:r w:rsidR="007A7D00" w:rsidRPr="009301C3">
        <w:rPr>
          <w:lang w:val="en-US"/>
        </w:rPr>
        <w:t xml:space="preserve"> </w:t>
      </w:r>
      <w:proofErr w:type="spellStart"/>
      <w:r w:rsidR="007A7D00" w:rsidRPr="009301C3">
        <w:rPr>
          <w:lang w:val="en-US"/>
        </w:rPr>
        <w:t>i</w:t>
      </w:r>
      <w:proofErr w:type="spellEnd"/>
      <w:r w:rsidR="007A7D00" w:rsidRPr="009301C3">
        <w:rPr>
          <w:lang w:val="en-US"/>
        </w:rPr>
        <w:t xml:space="preserve"> </w:t>
      </w:r>
      <w:proofErr w:type="spellStart"/>
      <w:r w:rsidR="005D57EB" w:rsidRPr="009301C3">
        <w:rPr>
          <w:lang w:val="en-US"/>
        </w:rPr>
        <w:t>praktikave</w:t>
      </w:r>
      <w:proofErr w:type="spellEnd"/>
      <w:r w:rsidR="005D57EB" w:rsidRPr="009301C3">
        <w:rPr>
          <w:lang w:val="en-US"/>
        </w:rPr>
        <w:t xml:space="preserve"> </w:t>
      </w:r>
      <w:proofErr w:type="spellStart"/>
      <w:r w:rsidR="005D57EB" w:rsidRPr="009301C3">
        <w:rPr>
          <w:lang w:val="en-US"/>
        </w:rPr>
        <w:t>m</w:t>
      </w:r>
      <w:r w:rsidR="007A7D00" w:rsidRPr="009301C3">
        <w:rPr>
          <w:lang w:val="en-US"/>
        </w:rPr>
        <w:t>ë</w:t>
      </w:r>
      <w:proofErr w:type="spellEnd"/>
      <w:r w:rsidR="005D57EB" w:rsidRPr="009301C3">
        <w:rPr>
          <w:lang w:val="en-US"/>
        </w:rPr>
        <w:t xml:space="preserve"> </w:t>
      </w:r>
      <w:proofErr w:type="spellStart"/>
      <w:r w:rsidR="005D57EB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D57EB" w:rsidRPr="009301C3">
        <w:rPr>
          <w:lang w:val="en-US"/>
        </w:rPr>
        <w:t xml:space="preserve"> </w:t>
      </w:r>
      <w:proofErr w:type="spellStart"/>
      <w:r w:rsidR="005D57EB" w:rsidRPr="009301C3">
        <w:rPr>
          <w:lang w:val="en-US"/>
        </w:rPr>
        <w:t>mira</w:t>
      </w:r>
      <w:proofErr w:type="spellEnd"/>
      <w:r w:rsidR="005D57EB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dialogut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mes</w:t>
      </w:r>
      <w:proofErr w:type="spellEnd"/>
      <w:r w:rsidR="00581813" w:rsidRPr="009301C3">
        <w:rPr>
          <w:lang w:val="en-US"/>
        </w:rPr>
        <w:t xml:space="preserve"> OSHC-</w:t>
      </w:r>
      <w:proofErr w:type="spellStart"/>
      <w:r w:rsidR="00581813" w:rsidRPr="009301C3">
        <w:rPr>
          <w:lang w:val="en-US"/>
        </w:rPr>
        <w:t>ve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dhe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autoriteteve</w:t>
      </w:r>
      <w:proofErr w:type="spellEnd"/>
      <w:r w:rsidR="00581813" w:rsidRPr="009301C3">
        <w:rPr>
          <w:lang w:val="en-US"/>
        </w:rPr>
        <w:t xml:space="preserve"> </w:t>
      </w:r>
      <w:proofErr w:type="spellStart"/>
      <w:r w:rsidR="00581813" w:rsidRPr="009301C3">
        <w:rPr>
          <w:lang w:val="en-US"/>
        </w:rPr>
        <w:t>shtet</w:t>
      </w:r>
      <w:r w:rsidR="007A7D00" w:rsidRPr="009301C3">
        <w:rPr>
          <w:lang w:val="en-US"/>
        </w:rPr>
        <w:t>ë</w:t>
      </w:r>
      <w:r w:rsidR="00581813" w:rsidRPr="009301C3">
        <w:rPr>
          <w:lang w:val="en-US"/>
        </w:rPr>
        <w:t>rore</w:t>
      </w:r>
      <w:proofErr w:type="spellEnd"/>
      <w:r w:rsidR="005D57EB" w:rsidRPr="009301C3">
        <w:rPr>
          <w:lang w:val="en-US"/>
        </w:rPr>
        <w:t>;</w:t>
      </w:r>
    </w:p>
    <w:p w14:paraId="267312A0" w14:textId="2081C429" w:rsidR="005D57EB" w:rsidRPr="009301C3" w:rsidRDefault="000F7E63" w:rsidP="00462909">
      <w:pPr>
        <w:pStyle w:val="ListParagraph"/>
        <w:numPr>
          <w:ilvl w:val="0"/>
          <w:numId w:val="10"/>
        </w:numPr>
        <w:jc w:val="both"/>
      </w:pPr>
      <w:r w:rsidRPr="009301C3">
        <w:t>i</w:t>
      </w:r>
      <w:r w:rsidR="005D57EB" w:rsidRPr="009301C3">
        <w:t>dentifikimi dhe propozimi/sugjerimi</w:t>
      </w:r>
      <w:r w:rsidR="007A7D00" w:rsidRPr="009301C3">
        <w:t xml:space="preserve"> i </w:t>
      </w:r>
      <w:r w:rsidR="005D57EB" w:rsidRPr="009301C3">
        <w:t>praktikave m</w:t>
      </w:r>
      <w:r w:rsidR="007A7D00" w:rsidRPr="009301C3">
        <w:t>ë</w:t>
      </w:r>
      <w:r w:rsidR="005D57EB" w:rsidRPr="009301C3">
        <w:t xml:space="preserve"> t</w:t>
      </w:r>
      <w:r w:rsidR="007A7D00" w:rsidRPr="009301C3">
        <w:t>ë</w:t>
      </w:r>
      <w:r w:rsidR="005D57EB" w:rsidRPr="009301C3">
        <w:t xml:space="preserve"> mira </w:t>
      </w:r>
      <w:r w:rsidR="002E7257" w:rsidRPr="009301C3">
        <w:t>lidhur me mekanizmat e ndrysh</w:t>
      </w:r>
      <w:r w:rsidR="007A7D00" w:rsidRPr="009301C3">
        <w:t>ë</w:t>
      </w:r>
      <w:r w:rsidR="002E7257" w:rsidRPr="009301C3">
        <w:t>m t</w:t>
      </w:r>
      <w:r w:rsidR="007A7D00" w:rsidRPr="009301C3">
        <w:t>ë</w:t>
      </w:r>
      <w:r w:rsidR="002E7257" w:rsidRPr="009301C3">
        <w:t xml:space="preserve"> financimit p</w:t>
      </w:r>
      <w:r w:rsidR="007A7D00" w:rsidRPr="009301C3">
        <w:t>ë</w:t>
      </w:r>
      <w:r w:rsidR="002E7257" w:rsidRPr="009301C3">
        <w:t>r OSHC-t</w:t>
      </w:r>
      <w:r w:rsidR="007A7D00" w:rsidRPr="009301C3">
        <w:t>ë</w:t>
      </w:r>
      <w:r w:rsidR="002E7257" w:rsidRPr="009301C3">
        <w:t>;</w:t>
      </w:r>
    </w:p>
    <w:p w14:paraId="239851AA" w14:textId="77777777" w:rsidR="000F7E63" w:rsidRPr="009301C3" w:rsidRDefault="002E7257" w:rsidP="000F7E63">
      <w:pPr>
        <w:pStyle w:val="ListParagraph"/>
        <w:numPr>
          <w:ilvl w:val="0"/>
          <w:numId w:val="10"/>
        </w:numPr>
        <w:jc w:val="both"/>
      </w:pPr>
      <w:proofErr w:type="spellStart"/>
      <w:r w:rsidRPr="009301C3">
        <w:rPr>
          <w:lang w:val="en-US"/>
        </w:rPr>
        <w:t>ofrimi</w:t>
      </w:r>
      <w:proofErr w:type="spellEnd"/>
      <w:r w:rsidR="007A7D00" w:rsidRPr="009301C3">
        <w:rPr>
          <w:lang w:val="en-US"/>
        </w:rPr>
        <w:t xml:space="preserve"> </w:t>
      </w:r>
      <w:proofErr w:type="spellStart"/>
      <w:r w:rsidR="007A7D00" w:rsidRPr="009301C3">
        <w:rPr>
          <w:lang w:val="en-US"/>
        </w:rPr>
        <w:t>i</w:t>
      </w:r>
      <w:proofErr w:type="spellEnd"/>
      <w:r w:rsidR="007A7D00" w:rsidRPr="009301C3">
        <w:rPr>
          <w:lang w:val="en-US"/>
        </w:rPr>
        <w:t xml:space="preserve"> </w:t>
      </w:r>
      <w:proofErr w:type="spellStart"/>
      <w:r w:rsidRPr="009301C3">
        <w:rPr>
          <w:lang w:val="en-US"/>
        </w:rPr>
        <w:t>k</w:t>
      </w:r>
      <w:r w:rsidR="007A7D00" w:rsidRPr="009301C3">
        <w:rPr>
          <w:lang w:val="en-US"/>
        </w:rPr>
        <w:t>ë</w:t>
      </w:r>
      <w:r w:rsidRPr="009301C3">
        <w:rPr>
          <w:lang w:val="en-US"/>
        </w:rPr>
        <w:t>shillave</w:t>
      </w:r>
      <w:proofErr w:type="spellEnd"/>
      <w:r w:rsidRPr="009301C3">
        <w:rPr>
          <w:lang w:val="en-US"/>
        </w:rPr>
        <w:t xml:space="preserve"> </w:t>
      </w:r>
      <w:proofErr w:type="spellStart"/>
      <w:r w:rsidRPr="009301C3">
        <w:rPr>
          <w:lang w:val="en-US"/>
        </w:rPr>
        <w:t>lidhur</w:t>
      </w:r>
      <w:proofErr w:type="spellEnd"/>
      <w:r w:rsidRPr="009301C3">
        <w:rPr>
          <w:lang w:val="en-US"/>
        </w:rPr>
        <w:t xml:space="preserve"> me </w:t>
      </w:r>
      <w:proofErr w:type="spellStart"/>
      <w:r w:rsidR="005301D9" w:rsidRPr="009301C3">
        <w:rPr>
          <w:lang w:val="en-US"/>
        </w:rPr>
        <w:t>rrug</w:t>
      </w:r>
      <w:r w:rsidR="007A7D00" w:rsidRPr="009301C3">
        <w:rPr>
          <w:lang w:val="en-US"/>
        </w:rPr>
        <w:t>ë</w:t>
      </w:r>
      <w:r w:rsidR="005301D9" w:rsidRPr="009301C3">
        <w:rPr>
          <w:lang w:val="en-US"/>
        </w:rPr>
        <w:t>t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p</w:t>
      </w:r>
      <w:r w:rsidR="007A7D00" w:rsidRPr="009301C3">
        <w:rPr>
          <w:lang w:val="en-US"/>
        </w:rPr>
        <w:t>ë</w:t>
      </w:r>
      <w:r w:rsidR="005301D9" w:rsidRPr="009301C3">
        <w:rPr>
          <w:lang w:val="en-US"/>
        </w:rPr>
        <w:t>r</w:t>
      </w:r>
      <w:proofErr w:type="spellEnd"/>
      <w:r w:rsidR="004D262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p</w:t>
      </w:r>
      <w:r w:rsidR="007A7D00" w:rsidRPr="009301C3">
        <w:rPr>
          <w:lang w:val="en-US"/>
        </w:rPr>
        <w:t>ë</w:t>
      </w:r>
      <w:r w:rsidR="005301D9" w:rsidRPr="009301C3">
        <w:rPr>
          <w:lang w:val="en-US"/>
        </w:rPr>
        <w:t>rmir</w:t>
      </w:r>
      <w:r w:rsidR="007A7D00" w:rsidRPr="009301C3">
        <w:rPr>
          <w:lang w:val="en-US"/>
        </w:rPr>
        <w:t>ë</w:t>
      </w:r>
      <w:r w:rsidR="005301D9" w:rsidRPr="009301C3">
        <w:rPr>
          <w:lang w:val="en-US"/>
        </w:rPr>
        <w:t>simin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dhe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rritjen</w:t>
      </w:r>
      <w:proofErr w:type="spellEnd"/>
      <w:r w:rsidR="005301D9" w:rsidRPr="009301C3">
        <w:rPr>
          <w:lang w:val="en-US"/>
        </w:rPr>
        <w:t xml:space="preserve"> e </w:t>
      </w:r>
      <w:proofErr w:type="spellStart"/>
      <w:r w:rsidR="005301D9" w:rsidRPr="009301C3">
        <w:rPr>
          <w:lang w:val="en-US"/>
        </w:rPr>
        <w:t>rolit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strukturave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formale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t</w:t>
      </w:r>
      <w:r w:rsidR="007A7D00" w:rsidRPr="009301C3">
        <w:rPr>
          <w:lang w:val="en-US"/>
        </w:rPr>
        <w:t>ë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dialogut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publik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n</w:t>
      </w:r>
      <w:r w:rsidR="007A7D00" w:rsidRPr="009301C3">
        <w:rPr>
          <w:lang w:val="en-US"/>
        </w:rPr>
        <w:t>ë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fush</w:t>
      </w:r>
      <w:r w:rsidR="007A7D00" w:rsidRPr="009301C3">
        <w:rPr>
          <w:lang w:val="en-US"/>
        </w:rPr>
        <w:t>ë</w:t>
      </w:r>
      <w:r w:rsidR="005301D9" w:rsidRPr="009301C3">
        <w:rPr>
          <w:lang w:val="en-US"/>
        </w:rPr>
        <w:t>n</w:t>
      </w:r>
      <w:proofErr w:type="spellEnd"/>
      <w:r w:rsidR="005301D9" w:rsidRPr="009301C3">
        <w:rPr>
          <w:lang w:val="en-US"/>
        </w:rPr>
        <w:t xml:space="preserve"> e </w:t>
      </w:r>
      <w:proofErr w:type="spellStart"/>
      <w:r w:rsidR="005301D9" w:rsidRPr="009301C3">
        <w:rPr>
          <w:lang w:val="en-US"/>
        </w:rPr>
        <w:t>aft</w:t>
      </w:r>
      <w:r w:rsidR="007A7D00" w:rsidRPr="009301C3">
        <w:rPr>
          <w:lang w:val="en-US"/>
        </w:rPr>
        <w:t>ë</w:t>
      </w:r>
      <w:r w:rsidR="005301D9" w:rsidRPr="009301C3">
        <w:rPr>
          <w:lang w:val="en-US"/>
        </w:rPr>
        <w:t>sis</w:t>
      </w:r>
      <w:r w:rsidR="007A7D00" w:rsidRPr="009301C3">
        <w:rPr>
          <w:lang w:val="en-US"/>
        </w:rPr>
        <w:t>ë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s</w:t>
      </w:r>
      <w:r w:rsidR="007A7D00" w:rsidRPr="009301C3">
        <w:rPr>
          <w:lang w:val="en-US"/>
        </w:rPr>
        <w:t>ë</w:t>
      </w:r>
      <w:proofErr w:type="spellEnd"/>
      <w:r w:rsidR="005301D9" w:rsidRPr="009301C3">
        <w:rPr>
          <w:lang w:val="en-US"/>
        </w:rPr>
        <w:t xml:space="preserve"> </w:t>
      </w:r>
      <w:proofErr w:type="spellStart"/>
      <w:r w:rsidR="005301D9" w:rsidRPr="009301C3">
        <w:rPr>
          <w:lang w:val="en-US"/>
        </w:rPr>
        <w:t>kufizuar</w:t>
      </w:r>
      <w:proofErr w:type="spellEnd"/>
      <w:r w:rsidR="005301D9" w:rsidRPr="009301C3">
        <w:rPr>
          <w:lang w:val="en-US"/>
        </w:rPr>
        <w:t>;</w:t>
      </w:r>
    </w:p>
    <w:p w14:paraId="6ECBAA29" w14:textId="7228D5A0" w:rsidR="000717E8" w:rsidRPr="009301C3" w:rsidRDefault="005301D9" w:rsidP="000F7E63">
      <w:pPr>
        <w:pStyle w:val="ListParagraph"/>
        <w:numPr>
          <w:ilvl w:val="0"/>
          <w:numId w:val="10"/>
        </w:numPr>
        <w:jc w:val="both"/>
      </w:pPr>
      <w:r w:rsidRPr="009301C3">
        <w:t>garantimi</w:t>
      </w:r>
      <w:r w:rsidR="007A7D00" w:rsidRPr="009301C3">
        <w:t xml:space="preserve"> i </w:t>
      </w:r>
      <w:r w:rsidR="00A54A68" w:rsidRPr="009301C3">
        <w:t>nj</w:t>
      </w:r>
      <w:r w:rsidR="007A7D00" w:rsidRPr="009301C3">
        <w:t>ë</w:t>
      </w:r>
      <w:r w:rsidR="00A54A68" w:rsidRPr="009301C3">
        <w:t xml:space="preserve"> </w:t>
      </w:r>
      <w:r w:rsidRPr="009301C3">
        <w:t xml:space="preserve">qasjeje </w:t>
      </w:r>
      <w:r w:rsidR="00A54A68" w:rsidRPr="009301C3">
        <w:t>me synim targetin n</w:t>
      </w:r>
      <w:r w:rsidR="007A7D00" w:rsidRPr="009301C3">
        <w:t>ë</w:t>
      </w:r>
      <w:r w:rsidR="00A54A68" w:rsidRPr="009301C3">
        <w:t xml:space="preserve"> konceptimin e mesazheve</w:t>
      </w:r>
    </w:p>
    <w:p w14:paraId="0B25DA56" w14:textId="1BB0076A" w:rsidR="00705347" w:rsidRPr="009301C3" w:rsidRDefault="00A54A68" w:rsidP="00462909">
      <w:pPr>
        <w:pStyle w:val="ListParagraph"/>
        <w:numPr>
          <w:ilvl w:val="0"/>
          <w:numId w:val="10"/>
        </w:numPr>
        <w:jc w:val="both"/>
      </w:pPr>
      <w:r w:rsidRPr="009301C3">
        <w:t>p</w:t>
      </w:r>
      <w:r w:rsidR="007A7D00" w:rsidRPr="009301C3">
        <w:t>ë</w:t>
      </w:r>
      <w:r w:rsidRPr="009301C3">
        <w:t>rgatitja e nj</w:t>
      </w:r>
      <w:r w:rsidR="007A7D00" w:rsidRPr="009301C3">
        <w:t>ë</w:t>
      </w:r>
      <w:r w:rsidRPr="009301C3">
        <w:t xml:space="preserve"> p</w:t>
      </w:r>
      <w:r w:rsidR="007A7D00" w:rsidRPr="009301C3">
        <w:t>ë</w:t>
      </w:r>
      <w:r w:rsidRPr="009301C3">
        <w:t>rmbledhjeje</w:t>
      </w:r>
      <w:r w:rsidR="00705347" w:rsidRPr="009301C3">
        <w:t>/</w:t>
      </w:r>
      <w:r w:rsidRPr="009301C3">
        <w:t>konkluzioneve me shkrim t</w:t>
      </w:r>
      <w:r w:rsidR="007A7D00" w:rsidRPr="009301C3">
        <w:t>ë</w:t>
      </w:r>
      <w:r w:rsidRPr="009301C3">
        <w:t xml:space="preserve"> takimeve t</w:t>
      </w:r>
      <w:r w:rsidR="007A7D00" w:rsidRPr="009301C3">
        <w:t>ë</w:t>
      </w:r>
      <w:r w:rsidRPr="009301C3">
        <w:t xml:space="preserve"> organizuara;</w:t>
      </w:r>
    </w:p>
    <w:p w14:paraId="5532C536" w14:textId="2B9E4069" w:rsidR="00933D3D" w:rsidRPr="009301C3" w:rsidRDefault="00A54A68" w:rsidP="00462909">
      <w:pPr>
        <w:pStyle w:val="ListParagraph"/>
        <w:numPr>
          <w:ilvl w:val="0"/>
          <w:numId w:val="10"/>
        </w:numPr>
        <w:jc w:val="both"/>
      </w:pPr>
      <w:r w:rsidRPr="009301C3">
        <w:t>p</w:t>
      </w:r>
      <w:r w:rsidR="007A7D00" w:rsidRPr="009301C3">
        <w:t>ë</w:t>
      </w:r>
      <w:r w:rsidRPr="009301C3">
        <w:t>rgatitja dhe paraqitja e nj</w:t>
      </w:r>
      <w:r w:rsidR="007A7D00" w:rsidRPr="009301C3">
        <w:t>ë</w:t>
      </w:r>
      <w:r w:rsidRPr="009301C3">
        <w:t xml:space="preserve"> raporti p</w:t>
      </w:r>
      <w:r w:rsidR="007A7D00" w:rsidRPr="009301C3">
        <w:t>ë</w:t>
      </w:r>
      <w:r w:rsidRPr="009301C3">
        <w:t>rfundimtar me shkrim mbi komponentin e advokimit t</w:t>
      </w:r>
      <w:r w:rsidR="007A7D00" w:rsidRPr="009301C3">
        <w:t>ë</w:t>
      </w:r>
      <w:r w:rsidRPr="009301C3">
        <w:t xml:space="preserve"> projektit </w:t>
      </w:r>
      <w:r w:rsidR="00933D3D" w:rsidRPr="009301C3">
        <w:t>SOCIETIES</w:t>
      </w:r>
      <w:r w:rsidRPr="009301C3">
        <w:t>.</w:t>
      </w:r>
      <w:r w:rsidR="00933D3D" w:rsidRPr="009301C3">
        <w:t xml:space="preserve"> </w:t>
      </w:r>
    </w:p>
    <w:p w14:paraId="55D7CC7D" w14:textId="74ECBEB8" w:rsidR="004D2629" w:rsidRPr="009301C3" w:rsidRDefault="004D2629" w:rsidP="00462909">
      <w:pPr>
        <w:pStyle w:val="ListParagraph"/>
        <w:jc w:val="both"/>
      </w:pPr>
    </w:p>
    <w:p w14:paraId="57D37D58" w14:textId="071BF742" w:rsidR="00F23B6C" w:rsidRPr="009301C3" w:rsidRDefault="004D2629" w:rsidP="004629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firstLine="578"/>
        <w:jc w:val="both"/>
        <w:rPr>
          <w:b/>
          <w:lang w:val="en-US"/>
        </w:rPr>
      </w:pPr>
      <w:r w:rsidRPr="009301C3">
        <w:rPr>
          <w:b/>
          <w:lang w:val="en-US"/>
        </w:rPr>
        <w:t>6</w:t>
      </w:r>
      <w:r w:rsidR="00AB4098" w:rsidRPr="009301C3">
        <w:rPr>
          <w:b/>
          <w:lang w:val="en-US"/>
        </w:rPr>
        <w:t xml:space="preserve">. </w:t>
      </w:r>
      <w:r w:rsidR="00A54A68" w:rsidRPr="009301C3">
        <w:rPr>
          <w:b/>
          <w:lang w:val="en-US"/>
        </w:rPr>
        <w:t>KRITERET E P</w:t>
      </w:r>
      <w:r w:rsidR="007A7D00" w:rsidRPr="009301C3">
        <w:rPr>
          <w:b/>
          <w:lang w:val="en-US"/>
        </w:rPr>
        <w:t>Ë</w:t>
      </w:r>
      <w:r w:rsidR="00A54A68" w:rsidRPr="009301C3">
        <w:rPr>
          <w:b/>
          <w:lang w:val="en-US"/>
        </w:rPr>
        <w:t>RZGJEDHJES</w:t>
      </w:r>
    </w:p>
    <w:p w14:paraId="105AAF52" w14:textId="77777777" w:rsidR="004D2629" w:rsidRPr="009301C3" w:rsidRDefault="004D262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C767A" w14:textId="36B801CA" w:rsidR="00800C50" w:rsidRPr="009301C3" w:rsidRDefault="00A54A68" w:rsidP="00462909">
      <w:pPr>
        <w:pStyle w:val="ListParagraph"/>
        <w:numPr>
          <w:ilvl w:val="0"/>
          <w:numId w:val="12"/>
        </w:numPr>
        <w:spacing w:line="276" w:lineRule="auto"/>
        <w:jc w:val="both"/>
      </w:pPr>
      <w:r w:rsidRPr="009301C3">
        <w:t xml:space="preserve">Titulli </w:t>
      </w:r>
      <w:r w:rsidR="00114CEF" w:rsidRPr="009301C3">
        <w:t xml:space="preserve">Master </w:t>
      </w:r>
      <w:r w:rsidRPr="009301C3">
        <w:t>n</w:t>
      </w:r>
      <w:r w:rsidR="007A7D00" w:rsidRPr="009301C3">
        <w:t>ë</w:t>
      </w:r>
      <w:r w:rsidRPr="009301C3">
        <w:t xml:space="preserve"> shkenca sociale (preferohet drejt</w:t>
      </w:r>
      <w:r w:rsidR="007A7D00" w:rsidRPr="009301C3">
        <w:t>ë</w:t>
      </w:r>
      <w:r w:rsidRPr="009301C3">
        <w:t>sia dhe shkencat e komunikimit) ose p</w:t>
      </w:r>
      <w:r w:rsidR="007A7D00" w:rsidRPr="009301C3">
        <w:t>ë</w:t>
      </w:r>
      <w:r w:rsidRPr="009301C3">
        <w:t>rvoj</w:t>
      </w:r>
      <w:r w:rsidR="007A7D00" w:rsidRPr="009301C3">
        <w:t>ë</w:t>
      </w:r>
      <w:r w:rsidRPr="009301C3">
        <w:t xml:space="preserve"> e barazvlefshme me t</w:t>
      </w:r>
      <w:r w:rsidR="007A7D00" w:rsidRPr="009301C3">
        <w:t>ë</w:t>
      </w:r>
      <w:r w:rsidRPr="009301C3">
        <w:t xml:space="preserve"> prej s</w:t>
      </w:r>
      <w:r w:rsidR="007A7D00" w:rsidRPr="009301C3">
        <w:t>ë</w:t>
      </w:r>
      <w:r w:rsidRPr="009301C3">
        <w:t xml:space="preserve"> paku 10 vjet</w:t>
      </w:r>
      <w:r w:rsidR="007A7D00" w:rsidRPr="009301C3">
        <w:t>ë</w:t>
      </w:r>
      <w:r w:rsidRPr="009301C3">
        <w:t>sh</w:t>
      </w:r>
    </w:p>
    <w:p w14:paraId="742FC42C" w14:textId="272918DB" w:rsidR="008B4FDB" w:rsidRPr="009301C3" w:rsidRDefault="00410ED0" w:rsidP="00462909">
      <w:pPr>
        <w:pStyle w:val="ListParagraph"/>
        <w:numPr>
          <w:ilvl w:val="0"/>
          <w:numId w:val="12"/>
        </w:numPr>
        <w:spacing w:line="276" w:lineRule="auto"/>
        <w:jc w:val="both"/>
      </w:pPr>
      <w:r w:rsidRPr="009301C3">
        <w:t>T</w:t>
      </w:r>
      <w:r w:rsidR="007A7D00" w:rsidRPr="009301C3">
        <w:t>ë</w:t>
      </w:r>
      <w:r w:rsidRPr="009301C3">
        <w:t xml:space="preserve"> pakt</w:t>
      </w:r>
      <w:r w:rsidR="007A7D00" w:rsidRPr="009301C3">
        <w:t>ë</w:t>
      </w:r>
      <w:r w:rsidRPr="009301C3">
        <w:t>n dy vjet p</w:t>
      </w:r>
      <w:r w:rsidR="007A7D00" w:rsidRPr="009301C3">
        <w:t>ë</w:t>
      </w:r>
      <w:r w:rsidRPr="009301C3">
        <w:t>rvoj</w:t>
      </w:r>
      <w:r w:rsidR="007A7D00" w:rsidRPr="009301C3">
        <w:t>ë</w:t>
      </w:r>
      <w:r w:rsidRPr="009301C3">
        <w:t xml:space="preserve"> profesionale p</w:t>
      </w:r>
      <w:r w:rsidR="007A7D00" w:rsidRPr="009301C3">
        <w:t>ë</w:t>
      </w:r>
      <w:r w:rsidRPr="009301C3">
        <w:t>rkat</w:t>
      </w:r>
      <w:r w:rsidR="007A7D00" w:rsidRPr="009301C3">
        <w:t>ë</w:t>
      </w:r>
      <w:r w:rsidRPr="009301C3">
        <w:t>se n</w:t>
      </w:r>
      <w:r w:rsidR="007A7D00" w:rsidRPr="009301C3">
        <w:t>ë</w:t>
      </w:r>
      <w:r w:rsidRPr="009301C3">
        <w:t xml:space="preserve"> nj</w:t>
      </w:r>
      <w:r w:rsidR="007A7D00" w:rsidRPr="009301C3">
        <w:t>ë</w:t>
      </w:r>
      <w:r w:rsidRPr="009301C3">
        <w:t xml:space="preserve"> funksion t</w:t>
      </w:r>
      <w:r w:rsidR="007A7D00" w:rsidRPr="009301C3">
        <w:t>ë</w:t>
      </w:r>
      <w:r w:rsidRPr="009301C3">
        <w:t xml:space="preserve"> ngjash</w:t>
      </w:r>
      <w:r w:rsidR="007A7D00" w:rsidRPr="009301C3">
        <w:t>ë</w:t>
      </w:r>
      <w:r w:rsidRPr="009301C3">
        <w:t>m n</w:t>
      </w:r>
      <w:r w:rsidR="007A7D00" w:rsidRPr="009301C3">
        <w:t>ë</w:t>
      </w:r>
      <w:r w:rsidRPr="009301C3">
        <w:t xml:space="preserve"> kontekstin komb</w:t>
      </w:r>
      <w:r w:rsidR="007A7D00" w:rsidRPr="009301C3">
        <w:t>ë</w:t>
      </w:r>
      <w:r w:rsidRPr="009301C3">
        <w:t>tar apo nd</w:t>
      </w:r>
      <w:r w:rsidR="007A7D00" w:rsidRPr="009301C3">
        <w:t>ë</w:t>
      </w:r>
      <w:r w:rsidRPr="009301C3">
        <w:t>rkomb</w:t>
      </w:r>
      <w:r w:rsidR="007A7D00" w:rsidRPr="009301C3">
        <w:t>ë</w:t>
      </w:r>
      <w:r w:rsidRPr="009301C3">
        <w:t xml:space="preserve">tar </w:t>
      </w:r>
      <w:r w:rsidR="008B4FDB" w:rsidRPr="009301C3">
        <w:t xml:space="preserve">– </w:t>
      </w:r>
      <w:r w:rsidRPr="009301C3">
        <w:t>dialog publik</w:t>
      </w:r>
      <w:r w:rsidR="008B4FDB" w:rsidRPr="009301C3">
        <w:t xml:space="preserve">, </w:t>
      </w:r>
      <w:r w:rsidRPr="009301C3">
        <w:t>advokim dhe komunikim;</w:t>
      </w:r>
    </w:p>
    <w:p w14:paraId="05684F7F" w14:textId="09D71C4F" w:rsidR="008B4FDB" w:rsidRPr="009301C3" w:rsidRDefault="00410ED0" w:rsidP="00462909">
      <w:pPr>
        <w:pStyle w:val="ListParagraph"/>
        <w:numPr>
          <w:ilvl w:val="0"/>
          <w:numId w:val="12"/>
        </w:numPr>
        <w:spacing w:line="276" w:lineRule="auto"/>
        <w:jc w:val="both"/>
      </w:pPr>
      <w:r w:rsidRPr="009301C3">
        <w:t>Shprehi t</w:t>
      </w:r>
      <w:r w:rsidR="007A7D00" w:rsidRPr="009301C3">
        <w:t>ë</w:t>
      </w:r>
      <w:r w:rsidRPr="009301C3">
        <w:t xml:space="preserve"> forta konceptuese dhe analitiko-k</w:t>
      </w:r>
      <w:r w:rsidR="007A7D00" w:rsidRPr="009301C3">
        <w:t>ë</w:t>
      </w:r>
      <w:r w:rsidRPr="009301C3">
        <w:t>rkimore dhe aft</w:t>
      </w:r>
      <w:r w:rsidR="007A7D00" w:rsidRPr="009301C3">
        <w:t>ë</w:t>
      </w:r>
      <w:r w:rsidRPr="009301C3">
        <w:t>si p</w:t>
      </w:r>
      <w:r w:rsidR="007A7D00" w:rsidRPr="009301C3">
        <w:t>ë</w:t>
      </w:r>
      <w:r w:rsidRPr="009301C3">
        <w:t>r t</w:t>
      </w:r>
      <w:r w:rsidR="007A7D00" w:rsidRPr="009301C3">
        <w:t>ë</w:t>
      </w:r>
      <w:r w:rsidRPr="009301C3">
        <w:t xml:space="preserve"> analizuar t</w:t>
      </w:r>
      <w:r w:rsidR="007A7D00" w:rsidRPr="009301C3">
        <w:t>ë</w:t>
      </w:r>
      <w:r w:rsidRPr="009301C3">
        <w:t xml:space="preserve"> dh</w:t>
      </w:r>
      <w:r w:rsidR="007A7D00" w:rsidRPr="009301C3">
        <w:t>ë</w:t>
      </w:r>
      <w:r w:rsidRPr="009301C3">
        <w:t>na dhe informacione nga burime t</w:t>
      </w:r>
      <w:r w:rsidR="007A7D00" w:rsidRPr="009301C3">
        <w:t>ë</w:t>
      </w:r>
      <w:r w:rsidRPr="009301C3">
        <w:t xml:space="preserve"> ndryshme dhe p</w:t>
      </w:r>
      <w:r w:rsidR="007A7D00" w:rsidRPr="009301C3">
        <w:t>ë</w:t>
      </w:r>
      <w:r w:rsidRPr="009301C3">
        <w:t>r t</w:t>
      </w:r>
      <w:r w:rsidR="007A7D00" w:rsidRPr="009301C3">
        <w:t>ë</w:t>
      </w:r>
      <w:r w:rsidRPr="009301C3">
        <w:t xml:space="preserve"> prodhuar materiale koherente;</w:t>
      </w:r>
    </w:p>
    <w:p w14:paraId="45F02FE2" w14:textId="29F6B61E" w:rsidR="004D2629" w:rsidRPr="009301C3" w:rsidRDefault="00410ED0" w:rsidP="00462909">
      <w:pPr>
        <w:pStyle w:val="ListParagraph"/>
        <w:numPr>
          <w:ilvl w:val="0"/>
          <w:numId w:val="12"/>
        </w:numPr>
        <w:spacing w:line="276" w:lineRule="auto"/>
        <w:jc w:val="both"/>
      </w:pPr>
      <w:r w:rsidRPr="009301C3">
        <w:t>Shprehi shum</w:t>
      </w:r>
      <w:r w:rsidR="007A7D00" w:rsidRPr="009301C3">
        <w:t>ë</w:t>
      </w:r>
      <w:r w:rsidRPr="009301C3">
        <w:t xml:space="preserve"> t</w:t>
      </w:r>
      <w:r w:rsidR="007A7D00" w:rsidRPr="009301C3">
        <w:t>ë</w:t>
      </w:r>
      <w:r w:rsidRPr="009301C3">
        <w:t xml:space="preserve"> mira komunikimi me goj</w:t>
      </w:r>
      <w:r w:rsidR="007A7D00" w:rsidRPr="009301C3">
        <w:t>ë</w:t>
      </w:r>
      <w:r w:rsidRPr="009301C3">
        <w:t xml:space="preserve"> dhe me shkrim</w:t>
      </w:r>
      <w:r w:rsidR="008B4FDB" w:rsidRPr="009301C3">
        <w:t xml:space="preserve">, </w:t>
      </w:r>
      <w:r w:rsidRPr="009301C3">
        <w:t>me aft</w:t>
      </w:r>
      <w:r w:rsidR="007A7D00" w:rsidRPr="009301C3">
        <w:t>ë</w:t>
      </w:r>
      <w:r w:rsidRPr="009301C3">
        <w:t>si t</w:t>
      </w:r>
      <w:r w:rsidR="007A7D00" w:rsidRPr="009301C3">
        <w:t>ë</w:t>
      </w:r>
      <w:r w:rsidRPr="009301C3">
        <w:t xml:space="preserve"> fort</w:t>
      </w:r>
      <w:r w:rsidR="007A7D00" w:rsidRPr="009301C3">
        <w:t>ë</w:t>
      </w:r>
      <w:r w:rsidRPr="009301C3">
        <w:t xml:space="preserve"> t</w:t>
      </w:r>
      <w:r w:rsidR="007A7D00" w:rsidRPr="009301C3">
        <w:t>ë</w:t>
      </w:r>
      <w:r w:rsidRPr="009301C3">
        <w:t xml:space="preserve"> demo</w:t>
      </w:r>
      <w:r w:rsidR="00D26612" w:rsidRPr="009301C3">
        <w:t>n</w:t>
      </w:r>
      <w:r w:rsidRPr="009301C3">
        <w:t>struar p</w:t>
      </w:r>
      <w:r w:rsidR="007A7D00" w:rsidRPr="009301C3">
        <w:t>ë</w:t>
      </w:r>
      <w:r w:rsidRPr="009301C3">
        <w:t>r t</w:t>
      </w:r>
      <w:r w:rsidR="007A7D00" w:rsidRPr="009301C3">
        <w:t>ë</w:t>
      </w:r>
      <w:r w:rsidRPr="009301C3">
        <w:t xml:space="preserve"> p</w:t>
      </w:r>
      <w:r w:rsidR="007A7D00" w:rsidRPr="009301C3">
        <w:t>ë</w:t>
      </w:r>
      <w:r w:rsidRPr="009301C3">
        <w:t>r</w:t>
      </w:r>
      <w:r w:rsidR="007A7D00" w:rsidRPr="009301C3">
        <w:t>ç</w:t>
      </w:r>
      <w:r w:rsidRPr="009301C3">
        <w:t>uar ide komplekse me nj</w:t>
      </w:r>
      <w:r w:rsidR="007A7D00" w:rsidRPr="009301C3">
        <w:t>ë</w:t>
      </w:r>
      <w:r w:rsidRPr="009301C3">
        <w:t xml:space="preserve"> stil t</w:t>
      </w:r>
      <w:r w:rsidR="007A7D00" w:rsidRPr="009301C3">
        <w:t>ë</w:t>
      </w:r>
      <w:r w:rsidRPr="009301C3">
        <w:t xml:space="preserve"> qart</w:t>
      </w:r>
      <w:r w:rsidR="007A7D00" w:rsidRPr="009301C3">
        <w:t>ë</w:t>
      </w:r>
      <w:r w:rsidRPr="009301C3">
        <w:t xml:space="preserve"> dhe t</w:t>
      </w:r>
      <w:r w:rsidR="007A7D00" w:rsidRPr="009301C3">
        <w:t>ë</w:t>
      </w:r>
      <w:r w:rsidRPr="009301C3">
        <w:t xml:space="preserve"> drejtp</w:t>
      </w:r>
      <w:r w:rsidR="007A7D00" w:rsidRPr="009301C3">
        <w:t>ë</w:t>
      </w:r>
      <w:r w:rsidRPr="009301C3">
        <w:t>rdrejt</w:t>
      </w:r>
      <w:r w:rsidR="007A7D00" w:rsidRPr="009301C3">
        <w:t>ë</w:t>
      </w:r>
      <w:r w:rsidRPr="009301C3">
        <w:t>;</w:t>
      </w:r>
    </w:p>
    <w:p w14:paraId="42FBF0D4" w14:textId="4B4F555C" w:rsidR="005049EA" w:rsidRPr="009301C3" w:rsidRDefault="00410ED0" w:rsidP="00462909">
      <w:pPr>
        <w:pStyle w:val="ListParagraph"/>
        <w:numPr>
          <w:ilvl w:val="0"/>
          <w:numId w:val="12"/>
        </w:numPr>
        <w:spacing w:line="276" w:lineRule="auto"/>
        <w:jc w:val="both"/>
      </w:pPr>
      <w:r w:rsidRPr="009301C3">
        <w:t>Shum</w:t>
      </w:r>
      <w:r w:rsidR="007A7D00" w:rsidRPr="009301C3">
        <w:t>ë</w:t>
      </w:r>
      <w:r w:rsidRPr="009301C3">
        <w:t xml:space="preserve"> i/e organizuar n</w:t>
      </w:r>
      <w:r w:rsidR="007A7D00" w:rsidRPr="009301C3">
        <w:t>ë</w:t>
      </w:r>
      <w:r w:rsidRPr="009301C3">
        <w:t xml:space="preserve"> nivel detyre dhe projekti</w:t>
      </w:r>
    </w:p>
    <w:p w14:paraId="6544AF43" w14:textId="60D32DC9" w:rsidR="008B4FDB" w:rsidRPr="009301C3" w:rsidRDefault="00410ED0" w:rsidP="00462909">
      <w:pPr>
        <w:pStyle w:val="ListParagraph"/>
        <w:numPr>
          <w:ilvl w:val="0"/>
          <w:numId w:val="12"/>
        </w:numPr>
        <w:spacing w:line="276" w:lineRule="auto"/>
        <w:jc w:val="both"/>
      </w:pPr>
      <w:r w:rsidRPr="009301C3">
        <w:t>Mendimtar/e inovativ/e dhe krijues</w:t>
      </w:r>
      <w:r w:rsidR="00D26612" w:rsidRPr="009301C3">
        <w:t>/</w:t>
      </w:r>
      <w:r w:rsidRPr="009301C3">
        <w:t>e.</w:t>
      </w:r>
    </w:p>
    <w:p w14:paraId="31CD6E77" w14:textId="77777777" w:rsidR="00875489" w:rsidRPr="009301C3" w:rsidRDefault="00875489" w:rsidP="00462909">
      <w:pPr>
        <w:pStyle w:val="ListParagraph"/>
        <w:spacing w:line="276" w:lineRule="auto"/>
        <w:jc w:val="both"/>
      </w:pPr>
    </w:p>
    <w:p w14:paraId="66CD410E" w14:textId="7D441B6B" w:rsidR="00A51D22" w:rsidRPr="009301C3" w:rsidRDefault="00C969D9" w:rsidP="00462909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b/>
          <w:lang w:val="en-US"/>
        </w:rPr>
      </w:pPr>
      <w:r w:rsidRPr="009301C3">
        <w:rPr>
          <w:b/>
          <w:lang w:val="en-US"/>
        </w:rPr>
        <w:t>7</w:t>
      </w:r>
      <w:r w:rsidR="00A51D22" w:rsidRPr="009301C3">
        <w:rPr>
          <w:b/>
          <w:lang w:val="en-US"/>
        </w:rPr>
        <w:t xml:space="preserve">. </w:t>
      </w:r>
      <w:r w:rsidR="00410ED0" w:rsidRPr="009301C3">
        <w:rPr>
          <w:b/>
          <w:lang w:val="en-US"/>
        </w:rPr>
        <w:t>KUSHTET FINANCIARE</w:t>
      </w:r>
    </w:p>
    <w:p w14:paraId="0E9ED962" w14:textId="27125570" w:rsidR="00800C50" w:rsidRPr="009301C3" w:rsidRDefault="00800C50" w:rsidP="004629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50553" w14:textId="759E6504" w:rsidR="00C969D9" w:rsidRPr="009301C3" w:rsidRDefault="00410ED0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mbulimin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ekspertit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task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forc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advokimit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sht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r w:rsidR="00C969D9" w:rsidRPr="0005583C">
        <w:rPr>
          <w:rFonts w:ascii="Times New Roman" w:hAnsi="Times New Roman" w:cs="Times New Roman"/>
          <w:sz w:val="24"/>
          <w:szCs w:val="24"/>
        </w:rPr>
        <w:t>1,800.00 EUR</w:t>
      </w:r>
      <w:r w:rsidR="00C969D9" w:rsidRPr="009301C3">
        <w:rPr>
          <w:rFonts w:ascii="Times New Roman" w:hAnsi="Times New Roman" w:cs="Times New Roman"/>
          <w:sz w:val="24"/>
          <w:szCs w:val="24"/>
        </w:rPr>
        <w:t xml:space="preserve">, </w:t>
      </w:r>
      <w:r w:rsidRPr="009301C3">
        <w:rPr>
          <w:rFonts w:ascii="Times New Roman" w:hAnsi="Times New Roman" w:cs="Times New Roman"/>
        </w:rPr>
        <w:t>d.m.th.</w:t>
      </w:r>
      <w:r w:rsidR="00C969D9" w:rsidRPr="009301C3">
        <w:rPr>
          <w:rFonts w:ascii="Times New Roman" w:hAnsi="Times New Roman" w:cs="Times New Roman"/>
        </w:rPr>
        <w:t xml:space="preserve"> </w:t>
      </w:r>
      <w:r w:rsidR="00C969D9" w:rsidRPr="009301C3">
        <w:rPr>
          <w:rFonts w:ascii="Times New Roman" w:hAnsi="Times New Roman" w:cs="Times New Roman"/>
          <w:sz w:val="24"/>
          <w:szCs w:val="24"/>
        </w:rPr>
        <w:t xml:space="preserve">150.00 EUR </w:t>
      </w:r>
      <w:proofErr w:type="spellStart"/>
      <w:r w:rsidR="00C969D9"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C969D9" w:rsidRPr="009301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969D9" w:rsidRPr="009301C3">
        <w:rPr>
          <w:rFonts w:ascii="Times New Roman" w:hAnsi="Times New Roman" w:cs="Times New Roman"/>
          <w:sz w:val="24"/>
          <w:szCs w:val="24"/>
        </w:rPr>
        <w:t xml:space="preserve"> event.</w:t>
      </w:r>
      <w:r w:rsidR="00EC31A0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Sh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shp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rblimi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rkat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ndahet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ekspert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Pr="009301C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EC31A0" w:rsidRPr="009301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58290" w14:textId="3CA649C1" w:rsidR="00C969D9" w:rsidRPr="009301C3" w:rsidRDefault="00C969D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4375" w14:textId="23E283F3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>8. MËNYRA E APLIKIMIT</w:t>
      </w:r>
    </w:p>
    <w:p w14:paraId="1925134D" w14:textId="3E62225A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CA512" w14:textId="637BA892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javëve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thirrjeje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>:</w:t>
      </w:r>
    </w:p>
    <w:p w14:paraId="19FECAAC" w14:textId="3E1D0660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>• Curriculum vitae;</w:t>
      </w:r>
    </w:p>
    <w:p w14:paraId="7A8A62D8" w14:textId="6B0089D6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0EB4B5AE" w14:textId="1A4BB124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do</w:t>
      </w:r>
      <w:r w:rsidR="0005583C">
        <w:rPr>
          <w:rFonts w:ascii="Times New Roman" w:hAnsi="Times New Roman" w:cs="Times New Roman"/>
          <w:sz w:val="24"/>
          <w:szCs w:val="24"/>
        </w:rPr>
        <w:t>k</w:t>
      </w:r>
      <w:r w:rsidRPr="009301C3">
        <w:rPr>
          <w:rFonts w:ascii="Times New Roman" w:hAnsi="Times New Roman" w:cs="Times New Roman"/>
          <w:sz w:val="24"/>
          <w:szCs w:val="24"/>
        </w:rPr>
        <w:t xml:space="preserve">ument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shoqërues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vërteton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="009301C3" w:rsidRPr="009301C3">
        <w:rPr>
          <w:rFonts w:ascii="Times New Roman" w:hAnsi="Times New Roman" w:cs="Times New Roman"/>
          <w:sz w:val="24"/>
          <w:szCs w:val="24"/>
        </w:rPr>
        <w:t>.</w:t>
      </w:r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8955A" w14:textId="77777777" w:rsidR="008D35F9" w:rsidRPr="009301C3" w:rsidRDefault="008D35F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CBA6" w14:textId="50DEF1F3" w:rsidR="00C969D9" w:rsidRPr="009301C3" w:rsidRDefault="00C969D9" w:rsidP="0046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01C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10ED0" w:rsidRPr="009301C3">
        <w:rPr>
          <w:rFonts w:ascii="Times New Roman" w:hAnsi="Times New Roman" w:cs="Times New Roman"/>
          <w:b/>
          <w:sz w:val="24"/>
          <w:szCs w:val="24"/>
        </w:rPr>
        <w:t>K</w:t>
      </w:r>
      <w:r w:rsidRPr="009301C3">
        <w:rPr>
          <w:rFonts w:ascii="Times New Roman" w:hAnsi="Times New Roman" w:cs="Times New Roman"/>
          <w:b/>
          <w:sz w:val="24"/>
          <w:szCs w:val="24"/>
        </w:rPr>
        <w:t>ONTA</w:t>
      </w:r>
      <w:r w:rsidR="00410ED0" w:rsidRPr="009301C3">
        <w:rPr>
          <w:rFonts w:ascii="Times New Roman" w:hAnsi="Times New Roman" w:cs="Times New Roman"/>
          <w:b/>
          <w:sz w:val="24"/>
          <w:szCs w:val="24"/>
        </w:rPr>
        <w:t>K</w:t>
      </w:r>
      <w:r w:rsidRPr="009301C3">
        <w:rPr>
          <w:rFonts w:ascii="Times New Roman" w:hAnsi="Times New Roman" w:cs="Times New Roman"/>
          <w:b/>
          <w:sz w:val="24"/>
          <w:szCs w:val="24"/>
        </w:rPr>
        <w:t>T</w:t>
      </w:r>
      <w:r w:rsidR="00410ED0" w:rsidRPr="009301C3">
        <w:rPr>
          <w:rFonts w:ascii="Times New Roman" w:hAnsi="Times New Roman" w:cs="Times New Roman"/>
          <w:b/>
          <w:sz w:val="24"/>
          <w:szCs w:val="24"/>
        </w:rPr>
        <w:t>I</w:t>
      </w:r>
    </w:p>
    <w:p w14:paraId="0F4CF2D6" w14:textId="77777777" w:rsidR="009301C3" w:rsidRPr="009301C3" w:rsidRDefault="009301C3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631EE" w14:textId="01D526B3" w:rsidR="00800C50" w:rsidRPr="009301C3" w:rsidRDefault="009301C3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dërgohen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09" w:rsidRPr="009301C3">
        <w:rPr>
          <w:rFonts w:ascii="Times New Roman" w:hAnsi="Times New Roman" w:cs="Times New Roman"/>
          <w:sz w:val="24"/>
          <w:szCs w:val="24"/>
        </w:rPr>
        <w:t>n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6290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09" w:rsidRPr="009301C3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="00462909"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09" w:rsidRPr="009301C3">
        <w:rPr>
          <w:rFonts w:ascii="Times New Roman" w:hAnsi="Times New Roman" w:cs="Times New Roman"/>
          <w:sz w:val="24"/>
          <w:szCs w:val="24"/>
        </w:rPr>
        <w:t>m</w:t>
      </w:r>
      <w:r w:rsidR="007A7D00" w:rsidRPr="009301C3">
        <w:rPr>
          <w:rFonts w:ascii="Times New Roman" w:hAnsi="Times New Roman" w:cs="Times New Roman"/>
          <w:sz w:val="24"/>
          <w:szCs w:val="24"/>
        </w:rPr>
        <w:t>ë</w:t>
      </w:r>
      <w:r w:rsidR="00462909" w:rsidRPr="009301C3">
        <w:rPr>
          <w:rFonts w:ascii="Times New Roman" w:hAnsi="Times New Roman" w:cs="Times New Roman"/>
          <w:sz w:val="24"/>
          <w:szCs w:val="24"/>
        </w:rPr>
        <w:t>poshtme</w:t>
      </w:r>
      <w:proofErr w:type="spellEnd"/>
      <w:r w:rsidR="0046290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09" w:rsidRPr="009301C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800C50" w:rsidRPr="009301C3">
        <w:rPr>
          <w:rFonts w:ascii="Times New Roman" w:hAnsi="Times New Roman" w:cs="Times New Roman"/>
          <w:sz w:val="24"/>
          <w:szCs w:val="24"/>
        </w:rPr>
        <w:t>:</w:t>
      </w:r>
    </w:p>
    <w:p w14:paraId="3C7A65C4" w14:textId="3D24CE7B" w:rsidR="00462909" w:rsidRPr="009301C3" w:rsidRDefault="0046290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21FA5" w14:textId="395950F3" w:rsidR="00462909" w:rsidRPr="009301C3" w:rsidRDefault="00B85097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2909" w:rsidRPr="009301C3">
          <w:rPr>
            <w:rStyle w:val="Hyperlink"/>
            <w:rFonts w:ascii="Times New Roman" w:hAnsi="Times New Roman" w:cs="Times New Roman"/>
            <w:sz w:val="24"/>
            <w:szCs w:val="24"/>
          </w:rPr>
          <w:t>s.paloka@caritasalbania.org</w:t>
        </w:r>
      </w:hyperlink>
      <w:r w:rsidR="00462909"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09" w:rsidRPr="009301C3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58B35128" w14:textId="77777777" w:rsidR="009301C3" w:rsidRPr="009301C3" w:rsidRDefault="00B85097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62909" w:rsidRPr="009301C3">
          <w:rPr>
            <w:rStyle w:val="Hyperlink"/>
            <w:rFonts w:ascii="Times New Roman" w:hAnsi="Times New Roman" w:cs="Times New Roman"/>
            <w:sz w:val="24"/>
            <w:szCs w:val="24"/>
          </w:rPr>
          <w:t>stefanpaloka67@gmail.com</w:t>
        </w:r>
      </w:hyperlink>
      <w:r w:rsidR="009301C3" w:rsidRPr="009301C3">
        <w:rPr>
          <w:rFonts w:ascii="Times New Roman" w:hAnsi="Times New Roman" w:cs="Times New Roman"/>
          <w:sz w:val="24"/>
          <w:szCs w:val="24"/>
        </w:rPr>
        <w:t>.</w:t>
      </w:r>
      <w:r w:rsidR="00462909" w:rsidRPr="00930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35072" w14:textId="01959B4C" w:rsidR="00462909" w:rsidRPr="009301C3" w:rsidRDefault="009301C3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paqartësi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telefononi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01C3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>:</w:t>
      </w:r>
    </w:p>
    <w:p w14:paraId="422F11C0" w14:textId="1990B091" w:rsidR="00462909" w:rsidRPr="009301C3" w:rsidRDefault="00462909" w:rsidP="004629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301C3">
        <w:rPr>
          <w:rFonts w:ascii="Times New Roman" w:hAnsi="Times New Roman" w:cs="Times New Roman"/>
          <w:sz w:val="24"/>
          <w:szCs w:val="24"/>
        </w:rPr>
        <w:t>: 0697041293</w:t>
      </w:r>
      <w:r w:rsidR="009301C3" w:rsidRPr="009301C3">
        <w:rPr>
          <w:rFonts w:ascii="Times New Roman" w:hAnsi="Times New Roman" w:cs="Times New Roman"/>
          <w:sz w:val="24"/>
          <w:szCs w:val="24"/>
        </w:rPr>
        <w:t>.</w:t>
      </w:r>
    </w:p>
    <w:sectPr w:rsidR="00462909" w:rsidRPr="009301C3" w:rsidSect="007B40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A0E4" w14:textId="77777777" w:rsidR="00B85097" w:rsidRDefault="00B85097" w:rsidP="00E0372D">
      <w:pPr>
        <w:spacing w:after="0" w:line="240" w:lineRule="auto"/>
      </w:pPr>
      <w:r>
        <w:separator/>
      </w:r>
    </w:p>
  </w:endnote>
  <w:endnote w:type="continuationSeparator" w:id="0">
    <w:p w14:paraId="366D5A3A" w14:textId="77777777" w:rsidR="00B85097" w:rsidRDefault="00B85097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1CFB" w14:textId="77777777" w:rsidR="009301C3" w:rsidRDefault="0093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B5D5" w14:textId="77777777" w:rsidR="009301C3" w:rsidRDefault="00930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2C9D" w14:textId="77777777" w:rsidR="009301C3" w:rsidRDefault="0093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6780" w14:textId="77777777" w:rsidR="00B85097" w:rsidRDefault="00B85097" w:rsidP="00E0372D">
      <w:pPr>
        <w:spacing w:after="0" w:line="240" w:lineRule="auto"/>
      </w:pPr>
      <w:r>
        <w:separator/>
      </w:r>
    </w:p>
  </w:footnote>
  <w:footnote w:type="continuationSeparator" w:id="0">
    <w:p w14:paraId="2775F00B" w14:textId="77777777" w:rsidR="00B85097" w:rsidRDefault="00B85097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D069" w14:textId="77777777" w:rsidR="009301C3" w:rsidRDefault="0093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FD4EB" w14:textId="77777777" w:rsidR="007A7D00" w:rsidRPr="003D2CC4" w:rsidRDefault="007A7D00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  </w:t>
    </w:r>
    <w:r>
      <w:rPr>
        <w:noProof/>
      </w:rPr>
      <w:br/>
      <w:t xml:space="preserve">            </w:t>
    </w:r>
    <w:r>
      <w:rPr>
        <w:noProof/>
        <w:lang w:val="hr-BA" w:eastAsia="hr-BA"/>
      </w:rPr>
      <w:drawing>
        <wp:inline distT="0" distB="0" distL="0" distR="0" wp14:anchorId="46544592" wp14:editId="29FDC55C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  <w:lang w:val="hr-BA" w:eastAsia="hr-BA"/>
      </w:rPr>
      <w:drawing>
        <wp:inline distT="0" distB="0" distL="0" distR="0" wp14:anchorId="078933AA" wp14:editId="358FC10C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  <w:lang w:val="hr-BA" w:eastAsia="hr-BA"/>
      </w:rPr>
      <w:drawing>
        <wp:inline distT="0" distB="0" distL="0" distR="0" wp14:anchorId="66EDBD5A" wp14:editId="49861749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br/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2FC5" w14:textId="77777777" w:rsidR="009301C3" w:rsidRDefault="0093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3C2"/>
    <w:multiLevelType w:val="hybridMultilevel"/>
    <w:tmpl w:val="85EE670A"/>
    <w:lvl w:ilvl="0" w:tplc="C8EA64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36F"/>
    <w:multiLevelType w:val="hybridMultilevel"/>
    <w:tmpl w:val="3258BB96"/>
    <w:lvl w:ilvl="0" w:tplc="1B8880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7E6"/>
    <w:multiLevelType w:val="hybridMultilevel"/>
    <w:tmpl w:val="9E98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623A6"/>
    <w:multiLevelType w:val="multilevel"/>
    <w:tmpl w:val="7CF2B5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6934D7"/>
    <w:multiLevelType w:val="hybridMultilevel"/>
    <w:tmpl w:val="C9BA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4CC8"/>
    <w:multiLevelType w:val="hybridMultilevel"/>
    <w:tmpl w:val="1658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C00"/>
    <w:multiLevelType w:val="hybridMultilevel"/>
    <w:tmpl w:val="0B9EF9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47A1"/>
    <w:multiLevelType w:val="multilevel"/>
    <w:tmpl w:val="3B30E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D3393"/>
    <w:multiLevelType w:val="hybridMultilevel"/>
    <w:tmpl w:val="D7266898"/>
    <w:lvl w:ilvl="0" w:tplc="2EE0B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C5F2D"/>
    <w:multiLevelType w:val="hybridMultilevel"/>
    <w:tmpl w:val="BEF41AEC"/>
    <w:lvl w:ilvl="0" w:tplc="32C61C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404636"/>
    <w:multiLevelType w:val="hybridMultilevel"/>
    <w:tmpl w:val="0B9EF9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2D"/>
    <w:rsid w:val="0005583C"/>
    <w:rsid w:val="00057FC5"/>
    <w:rsid w:val="00067B7A"/>
    <w:rsid w:val="000717E8"/>
    <w:rsid w:val="00077F18"/>
    <w:rsid w:val="000A7E29"/>
    <w:rsid w:val="000B5DF9"/>
    <w:rsid w:val="000C02E9"/>
    <w:rsid w:val="000C22D8"/>
    <w:rsid w:val="000F7E63"/>
    <w:rsid w:val="0011031D"/>
    <w:rsid w:val="00114CEF"/>
    <w:rsid w:val="00126CA3"/>
    <w:rsid w:val="00171798"/>
    <w:rsid w:val="00172CAF"/>
    <w:rsid w:val="001868B0"/>
    <w:rsid w:val="001C116D"/>
    <w:rsid w:val="001C1E4C"/>
    <w:rsid w:val="0021282F"/>
    <w:rsid w:val="002158D3"/>
    <w:rsid w:val="00240B89"/>
    <w:rsid w:val="00263B4F"/>
    <w:rsid w:val="002E7257"/>
    <w:rsid w:val="00304D78"/>
    <w:rsid w:val="003278A8"/>
    <w:rsid w:val="00353C2B"/>
    <w:rsid w:val="003D2CC4"/>
    <w:rsid w:val="00403E26"/>
    <w:rsid w:val="00410ED0"/>
    <w:rsid w:val="00417C43"/>
    <w:rsid w:val="00462909"/>
    <w:rsid w:val="004D2629"/>
    <w:rsid w:val="004D3042"/>
    <w:rsid w:val="005049EA"/>
    <w:rsid w:val="00526BE0"/>
    <w:rsid w:val="00527BCC"/>
    <w:rsid w:val="005301D9"/>
    <w:rsid w:val="00550BD3"/>
    <w:rsid w:val="00570814"/>
    <w:rsid w:val="00581813"/>
    <w:rsid w:val="00595618"/>
    <w:rsid w:val="005B4347"/>
    <w:rsid w:val="005D57EB"/>
    <w:rsid w:val="005D7432"/>
    <w:rsid w:val="00601CD8"/>
    <w:rsid w:val="00605076"/>
    <w:rsid w:val="006209AE"/>
    <w:rsid w:val="00640C4F"/>
    <w:rsid w:val="006650E4"/>
    <w:rsid w:val="00696E9C"/>
    <w:rsid w:val="006F259E"/>
    <w:rsid w:val="00705347"/>
    <w:rsid w:val="007A4F62"/>
    <w:rsid w:val="007A7D00"/>
    <w:rsid w:val="007B40E5"/>
    <w:rsid w:val="007B4DB5"/>
    <w:rsid w:val="007C04EB"/>
    <w:rsid w:val="007C3679"/>
    <w:rsid w:val="00800C50"/>
    <w:rsid w:val="008238FE"/>
    <w:rsid w:val="00825CE1"/>
    <w:rsid w:val="00875489"/>
    <w:rsid w:val="008954F9"/>
    <w:rsid w:val="008B4FDB"/>
    <w:rsid w:val="008D35F9"/>
    <w:rsid w:val="008E2FB6"/>
    <w:rsid w:val="008E7911"/>
    <w:rsid w:val="009073E9"/>
    <w:rsid w:val="00911753"/>
    <w:rsid w:val="009301C3"/>
    <w:rsid w:val="00933D3D"/>
    <w:rsid w:val="00974E1E"/>
    <w:rsid w:val="00981830"/>
    <w:rsid w:val="009862F3"/>
    <w:rsid w:val="00991A97"/>
    <w:rsid w:val="009C6729"/>
    <w:rsid w:val="009E63C3"/>
    <w:rsid w:val="00A25AF1"/>
    <w:rsid w:val="00A51D22"/>
    <w:rsid w:val="00A54A68"/>
    <w:rsid w:val="00A62C38"/>
    <w:rsid w:val="00A87FA5"/>
    <w:rsid w:val="00A97E9F"/>
    <w:rsid w:val="00AA1F3A"/>
    <w:rsid w:val="00AB4098"/>
    <w:rsid w:val="00AE7EE2"/>
    <w:rsid w:val="00B05DD2"/>
    <w:rsid w:val="00B52F26"/>
    <w:rsid w:val="00B5589D"/>
    <w:rsid w:val="00B777AF"/>
    <w:rsid w:val="00B85097"/>
    <w:rsid w:val="00B86516"/>
    <w:rsid w:val="00BA0946"/>
    <w:rsid w:val="00BB6032"/>
    <w:rsid w:val="00BC090A"/>
    <w:rsid w:val="00BC4994"/>
    <w:rsid w:val="00BE4F9B"/>
    <w:rsid w:val="00C652C6"/>
    <w:rsid w:val="00C75B47"/>
    <w:rsid w:val="00C969D9"/>
    <w:rsid w:val="00CB76B6"/>
    <w:rsid w:val="00CC1491"/>
    <w:rsid w:val="00CD2C7B"/>
    <w:rsid w:val="00CD34D6"/>
    <w:rsid w:val="00CD579A"/>
    <w:rsid w:val="00CF3694"/>
    <w:rsid w:val="00D010AB"/>
    <w:rsid w:val="00D03119"/>
    <w:rsid w:val="00D13442"/>
    <w:rsid w:val="00D21595"/>
    <w:rsid w:val="00D26612"/>
    <w:rsid w:val="00DA4DF3"/>
    <w:rsid w:val="00DD406A"/>
    <w:rsid w:val="00DE760D"/>
    <w:rsid w:val="00DF754C"/>
    <w:rsid w:val="00E0372D"/>
    <w:rsid w:val="00E2124A"/>
    <w:rsid w:val="00E23939"/>
    <w:rsid w:val="00E328B7"/>
    <w:rsid w:val="00E35C6B"/>
    <w:rsid w:val="00E715A4"/>
    <w:rsid w:val="00E811A3"/>
    <w:rsid w:val="00EA6DDD"/>
    <w:rsid w:val="00EC0B9F"/>
    <w:rsid w:val="00EC31A0"/>
    <w:rsid w:val="00EF4F61"/>
    <w:rsid w:val="00F00795"/>
    <w:rsid w:val="00F23B6C"/>
    <w:rsid w:val="00FF50A7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73C7"/>
  <w15:chartTrackingRefBased/>
  <w15:docId w15:val="{B632FC06-B644-4EFA-A635-04381EB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F23B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B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23B6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5A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A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AF1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9073E9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rsid w:val="009073E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9073E9"/>
  </w:style>
  <w:style w:type="character" w:styleId="CommentReference">
    <w:name w:val="annotation reference"/>
    <w:basedOn w:val="DefaultParagraphFont"/>
    <w:uiPriority w:val="99"/>
    <w:semiHidden/>
    <w:unhideWhenUsed/>
    <w:rsid w:val="00263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fanpaloka67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.paloka@caritasalbania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jectsocietie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340E043CB5540981074F3FE5973A0" ma:contentTypeVersion="10" ma:contentTypeDescription="Create a new document." ma:contentTypeScope="" ma:versionID="36b4d8384bfe455a5c113d530f7be20d">
  <xsd:schema xmlns:xsd="http://www.w3.org/2001/XMLSchema" xmlns:xs="http://www.w3.org/2001/XMLSchema" xmlns:p="http://schemas.microsoft.com/office/2006/metadata/properties" xmlns:ns3="92d34d60-e1a1-4d1a-809c-c9943d0fa23b" targetNamespace="http://schemas.microsoft.com/office/2006/metadata/properties" ma:root="true" ma:fieldsID="43bcdb39df3afd909839ba7c2c0a6679" ns3:_="">
    <xsd:import namespace="92d34d60-e1a1-4d1a-809c-c9943d0fa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34d60-e1a1-4d1a-809c-c9943d0fa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7051B-E6F0-46F6-A6C5-523B0525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34d60-e1a1-4d1a-809c-c9943d0fa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5B8FE-FCEF-44DD-B3FB-18491459F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E3D1FC-FAE7-49E9-A9C9-5B9F26F6C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AD10C-2DA9-4052-BE16-9634A460B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Joana Luka</cp:lastModifiedBy>
  <cp:revision>2</cp:revision>
  <cp:lastPrinted>2020-05-18T22:08:00Z</cp:lastPrinted>
  <dcterms:created xsi:type="dcterms:W3CDTF">2021-03-26T07:09:00Z</dcterms:created>
  <dcterms:modified xsi:type="dcterms:W3CDTF">2021-03-26T07:09:00Z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0x010100A2D340E043CB5540981074F3FE5973A0</vt:lpwstr>
  </property>
</Properties>
</file>